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00" w:type="dxa"/>
        <w:tblCellSpacing w:w="60" w:type="dxa"/>
        <w:tblInd w:w="13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E7F0F9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54"/>
        <w:gridCol w:w="6746"/>
      </w:tblGrid>
      <w:tr w:rsidR="00C2431F" w14:paraId="609204EC" w14:textId="77777777"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2FE0C67C" w14:textId="77777777" w:rsidR="00C2431F" w:rsidRDefault="00000000">
            <w:pPr>
              <w:spacing w:after="0" w:line="240" w:lineRule="auto"/>
            </w:pPr>
            <w:r>
              <w:rPr>
                <w:b/>
              </w:rPr>
              <w:t>RKP broj</w:t>
            </w:r>
          </w:p>
        </w:tc>
        <w:tc>
          <w:tcPr>
            <w:tcW w:w="0" w:type="auto"/>
            <w:shd w:val="clear" w:color="auto" w:fill="E7F0F9"/>
          </w:tcPr>
          <w:p w14:paraId="5D2B48BB" w14:textId="77777777" w:rsidR="00C2431F" w:rsidRDefault="00000000">
            <w:pPr>
              <w:spacing w:after="0" w:line="240" w:lineRule="auto"/>
            </w:pPr>
            <w:r>
              <w:t>33659</w:t>
            </w:r>
          </w:p>
        </w:tc>
      </w:tr>
      <w:tr w:rsidR="00C2431F" w14:paraId="01F82AC4" w14:textId="77777777"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5CD3CD84" w14:textId="77777777" w:rsidR="00C2431F" w:rsidRDefault="00000000">
            <w:pPr>
              <w:spacing w:after="0" w:line="240" w:lineRule="auto"/>
            </w:pPr>
            <w:r>
              <w:rPr>
                <w:b/>
              </w:rPr>
              <w:t>Naziv obveznika</w:t>
            </w:r>
          </w:p>
        </w:tc>
        <w:tc>
          <w:tcPr>
            <w:tcW w:w="0" w:type="auto"/>
            <w:shd w:val="clear" w:color="auto" w:fill="E7F0F9"/>
          </w:tcPr>
          <w:p w14:paraId="44801D7D" w14:textId="77777777" w:rsidR="00C2431F" w:rsidRDefault="00000000">
            <w:pPr>
              <w:spacing w:after="0" w:line="240" w:lineRule="auto"/>
            </w:pPr>
            <w:r>
              <w:t>GRAD ŠIBENIK</w:t>
            </w:r>
          </w:p>
        </w:tc>
      </w:tr>
      <w:tr w:rsidR="00C2431F" w14:paraId="4D303BB7" w14:textId="77777777">
        <w:trPr>
          <w:tblCellSpacing w:w="60" w:type="dxa"/>
        </w:trPr>
        <w:tc>
          <w:tcPr>
            <w:tcW w:w="1200" w:type="pct"/>
            <w:shd w:val="clear" w:color="auto" w:fill="E7F0F9"/>
          </w:tcPr>
          <w:p w14:paraId="288D5954" w14:textId="77777777" w:rsidR="00C2431F" w:rsidRDefault="00000000">
            <w:pPr>
              <w:spacing w:after="0" w:line="240" w:lineRule="auto"/>
            </w:pPr>
            <w:r>
              <w:rPr>
                <w:b/>
              </w:rPr>
              <w:t>Razina</w:t>
            </w:r>
          </w:p>
        </w:tc>
        <w:tc>
          <w:tcPr>
            <w:tcW w:w="0" w:type="auto"/>
            <w:shd w:val="clear" w:color="auto" w:fill="E7F0F9"/>
          </w:tcPr>
          <w:p w14:paraId="51A8A0DE" w14:textId="77777777" w:rsidR="00C2431F" w:rsidRDefault="00000000">
            <w:pPr>
              <w:spacing w:after="0" w:line="240" w:lineRule="auto"/>
            </w:pPr>
            <w:r>
              <w:t>22</w:t>
            </w:r>
          </w:p>
        </w:tc>
      </w:tr>
    </w:tbl>
    <w:p w14:paraId="4E6FB7DE" w14:textId="77777777" w:rsidR="00C2431F" w:rsidRDefault="00000000">
      <w:r>
        <w:br/>
      </w:r>
    </w:p>
    <w:p w14:paraId="2EED9811" w14:textId="77777777" w:rsidR="00C2431F" w:rsidRDefault="00000000">
      <w:pPr>
        <w:spacing w:line="240" w:lineRule="auto"/>
        <w:jc w:val="center"/>
      </w:pPr>
      <w:r>
        <w:rPr>
          <w:b/>
          <w:sz w:val="28"/>
        </w:rPr>
        <w:t>BILJEŠKE UZ FINANCIJSKE IZVJEŠTAJE</w:t>
      </w:r>
    </w:p>
    <w:p w14:paraId="6BEF8489" w14:textId="77777777" w:rsidR="00C2431F" w:rsidRDefault="00000000">
      <w:pPr>
        <w:spacing w:line="240" w:lineRule="auto"/>
        <w:jc w:val="center"/>
      </w:pPr>
      <w:r>
        <w:rPr>
          <w:b/>
          <w:sz w:val="28"/>
        </w:rPr>
        <w:t>ZA RAZDOBLJE</w:t>
      </w:r>
    </w:p>
    <w:p w14:paraId="5EBC7D18" w14:textId="77777777" w:rsidR="00C2431F" w:rsidRDefault="00000000">
      <w:pPr>
        <w:spacing w:line="240" w:lineRule="auto"/>
        <w:jc w:val="center"/>
      </w:pPr>
      <w:r>
        <w:rPr>
          <w:b/>
          <w:sz w:val="28"/>
        </w:rPr>
        <w:t>I - XII 2025.</w:t>
      </w:r>
    </w:p>
    <w:p w14:paraId="0017EF58" w14:textId="77777777" w:rsidR="00C2431F" w:rsidRDefault="00C2431F"/>
    <w:p w14:paraId="3145AC7B" w14:textId="77777777" w:rsidR="00C2431F" w:rsidRDefault="00000000">
      <w:pPr>
        <w:keepNext/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Izvještaj o prihodima i rashodima, primicima i izdacima</w:t>
      </w:r>
    </w:p>
    <w:p w14:paraId="530A4D0B" w14:textId="77777777" w:rsidR="002B11B1" w:rsidRDefault="002B11B1">
      <w:pPr>
        <w:keepNext/>
        <w:spacing w:line="240" w:lineRule="auto"/>
        <w:jc w:val="center"/>
      </w:pPr>
    </w:p>
    <w:p w14:paraId="58F6B649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1.</w:t>
      </w:r>
    </w:p>
    <w:tbl>
      <w:tblPr>
        <w:tblW w:w="0" w:type="auto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50F1EB1E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BBC009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66E595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26583C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B7DD6E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5A9C1F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C840CF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55453C69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BD5CF1D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47776FC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POSLOVANJA (šifre 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61C674D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AB3F94C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49.152.135,02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56FAA0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52.588.203,48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7DBC5E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107,0</w:t>
            </w:r>
          </w:p>
        </w:tc>
      </w:tr>
      <w:tr w:rsidR="00C2431F" w14:paraId="33A44995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C2B7923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AD30A43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POSLOVANJA (šifre 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D3D57F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563D42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39.511.480,02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1CFA67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49.663.326,44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6317D6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125,7</w:t>
            </w:r>
          </w:p>
        </w:tc>
      </w:tr>
      <w:tr w:rsidR="00C2431F" w14:paraId="033C9545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0A7B451" w14:textId="77777777" w:rsidR="00C2431F" w:rsidRDefault="00C2431F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CBD636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VIŠAK PRIHODA POSLOVANJA (šifre 6-Z005)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89C9BA1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X001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B0B1E2A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9.640.655,00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49137AD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2.924.877,04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211E2F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30,3</w:t>
            </w:r>
          </w:p>
        </w:tc>
      </w:tr>
      <w:tr w:rsidR="00C2431F" w14:paraId="55E0DEDB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637176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A891EF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nefinancijske imovine (šifre 71+72+73+74)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97561B8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732729C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1.959.974,75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563AF4C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105.179,06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C48F4B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5,4</w:t>
            </w:r>
          </w:p>
        </w:tc>
      </w:tr>
      <w:tr w:rsidR="00C2431F" w14:paraId="3C545AE6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ED25140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583C7FC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nabavu nefinancijske imovine (šifre 41+42+43+44+45)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B9BF02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859E22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5.198.073,87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B471E3B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10.153.867,16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25FB29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195,3</w:t>
            </w:r>
          </w:p>
        </w:tc>
      </w:tr>
      <w:tr w:rsidR="00C2431F" w14:paraId="31959BA8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B2FFAEE" w14:textId="77777777" w:rsidR="00C2431F" w:rsidRDefault="00C2431F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ABA39FA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OD NEFINANCIJSKE IMOVINE (šifre 4-7)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54F0A87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453CDAA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3.238.099,12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E05A67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10.048.688,10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9CFBD1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310,3</w:t>
            </w:r>
          </w:p>
        </w:tc>
      </w:tr>
      <w:tr w:rsidR="00C2431F" w14:paraId="6C79115A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3814B61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235AFC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Primici od financijske imovine i zaduživanja (šifre 81+82+83+84+85)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0A5B346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FDB4491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58.501,77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9E25B19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67.524,61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BCDAD2B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115,4</w:t>
            </w:r>
          </w:p>
        </w:tc>
      </w:tr>
      <w:tr w:rsidR="00C2431F" w14:paraId="4D8A6FF8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B9B958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AC3D17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Izdaci za financijsku imovinu i otplate zajmova (šifre 51+52+53+54+55)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5481E25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AB94FB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459.568,83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2337332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551.055,76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AD737F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119,9</w:t>
            </w:r>
          </w:p>
        </w:tc>
      </w:tr>
      <w:tr w:rsidR="00C2431F" w14:paraId="68AE06BA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2F65F40" w14:textId="77777777" w:rsidR="00C2431F" w:rsidRDefault="00C2431F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0B0F22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PRIMITAKA OD FINANCIJSKE IMOVINE I ZADUŽIVANJA (šifre 5-8)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F462B6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1FB6CC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401.067,06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588D2C8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483.531,15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D0AF6E2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120,6</w:t>
            </w:r>
          </w:p>
        </w:tc>
      </w:tr>
      <w:tr w:rsidR="00C2431F" w14:paraId="4250E886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7450A79" w14:textId="77777777" w:rsidR="00C2431F" w:rsidRDefault="00C2431F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EAFBC4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MANJAK PRIHODA I PRIMITAKA (šifre Y345-X678)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6D7584C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b/>
                <w:sz w:val="18"/>
              </w:rPr>
              <w:t>Y005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E63274A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CE706E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7.607.342,21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6003DD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b/>
                <w:sz w:val="18"/>
              </w:rPr>
              <w:t>-</w:t>
            </w:r>
          </w:p>
        </w:tc>
      </w:tr>
    </w:tbl>
    <w:p w14:paraId="34F535D8" w14:textId="77777777" w:rsidR="00C2431F" w:rsidRDefault="00C2431F">
      <w:pPr>
        <w:spacing w:after="0"/>
      </w:pPr>
    </w:p>
    <w:p w14:paraId="3E1F7F27" w14:textId="77777777" w:rsidR="00C2431F" w:rsidRDefault="00000000" w:rsidP="002B11B1">
      <w:pPr>
        <w:jc w:val="both"/>
      </w:pPr>
      <w:r>
        <w:rPr>
          <w:b/>
        </w:rPr>
        <w:t xml:space="preserve">Ukupni prihodi i primici (šifra X678) ostvareni su u izvještajnom razdoblju u iznosu od 52.760.907,15 eura, odnosno veći su za 3,1% ili 1.590.295,61 eura u odnosu na ostvarenje u istom razdoblju prethodne godine.   </w:t>
      </w:r>
      <w:r>
        <w:t>  </w:t>
      </w:r>
    </w:p>
    <w:p w14:paraId="232B9C83" w14:textId="77777777" w:rsidR="00423345" w:rsidRDefault="00423345" w:rsidP="002B11B1">
      <w:pPr>
        <w:jc w:val="both"/>
      </w:pPr>
    </w:p>
    <w:p w14:paraId="595DD348" w14:textId="1EAE637E" w:rsidR="00C2431F" w:rsidRDefault="00000000" w:rsidP="002B11B1">
      <w:pPr>
        <w:spacing w:line="240" w:lineRule="auto"/>
        <w:jc w:val="both"/>
      </w:pPr>
      <w:r>
        <w:lastRenderedPageBreak/>
        <w:t>Prihodi poslovanja ostvareni su u izvještajnom razdoblju u iznosu od 52.588.203,48 eura i  bilježe rast od 7% ili 3.436.068,46 eura u odnosu na ostvarenje u istom razdoblju prethodne godine, a što je najvećim dijelom rezultat povećanja prihoda od poreza na dohodak za 4.306.620,82 eura.   </w:t>
      </w:r>
    </w:p>
    <w:p w14:paraId="7F7F625F" w14:textId="47425CE3" w:rsidR="00C2431F" w:rsidRDefault="00000000" w:rsidP="002B11B1">
      <w:pPr>
        <w:spacing w:line="240" w:lineRule="auto"/>
        <w:jc w:val="both"/>
      </w:pPr>
      <w:r>
        <w:t xml:space="preserve">Prihodi od prodaje nefinancijske imovine realizirani su u iznosu od 105.179,06 eura i bilježe smanjenje u odnosu na ostvarenje u istom razdoblju prethodne godine za 1.854.795,69 eura iz razloga što je u prethodnom izvještajnom razdoblju realizirana prodaja građevinskog zemljišta u vlasništvu Grada u Industrijskoj zoni Podi te zgrade bivšeg studentskog doma na </w:t>
      </w:r>
      <w:proofErr w:type="spellStart"/>
      <w:r>
        <w:t>Šubićevcu</w:t>
      </w:r>
      <w:proofErr w:type="spellEnd"/>
      <w:r>
        <w:t xml:space="preserve">. </w:t>
      </w:r>
    </w:p>
    <w:p w14:paraId="54EDC1F5" w14:textId="77777777" w:rsidR="00C2431F" w:rsidRDefault="00000000" w:rsidP="002B11B1">
      <w:pPr>
        <w:spacing w:line="240" w:lineRule="auto"/>
        <w:jc w:val="both"/>
      </w:pPr>
      <w:r>
        <w:t>Primici od financijske imovine i zaduživanja ostvareni su u iznosu od 67.524,61 eura, odnosno 15,4% više u odnosu na ostvarenje u istom razdoblju prethodne godine zbog uplate preostalog dijela novčanih sredstava društva TEF d.d. u likvidaciji na žiro račun temeljem Odluke o raspodjeli imovine od 25.6.2025.</w:t>
      </w:r>
    </w:p>
    <w:p w14:paraId="4036C020" w14:textId="77777777" w:rsidR="00C2431F" w:rsidRDefault="00000000" w:rsidP="002B11B1">
      <w:pPr>
        <w:jc w:val="both"/>
      </w:pPr>
      <w:r>
        <w:rPr>
          <w:b/>
        </w:rPr>
        <w:t xml:space="preserve">Ukupni rashodi i izdaci </w:t>
      </w:r>
      <w:r>
        <w:rPr>
          <w:b/>
          <w:i/>
        </w:rPr>
        <w:t>(šifra Y345)</w:t>
      </w:r>
      <w:r>
        <w:rPr>
          <w:b/>
        </w:rPr>
        <w:t xml:space="preserve"> ostvareni su u iznosu od 60.368.249,36 eura, odnosno veći su za 33,6% ili 15.199.126,64 eura u odnosu na ostvarenje u istom razdoblju prethodne godine.   </w:t>
      </w:r>
    </w:p>
    <w:p w14:paraId="0F756997" w14:textId="77777777" w:rsidR="00C2431F" w:rsidRDefault="00000000" w:rsidP="0032487C">
      <w:pPr>
        <w:spacing w:after="60" w:line="240" w:lineRule="auto"/>
        <w:jc w:val="both"/>
      </w:pPr>
      <w:r>
        <w:t>Rashodi poslovanja izvršeni su u iznosu od 49.663.326,44 eura i bilježe povećanje od 25,7% ili 10.151.846,42 eura u odnosu na ostvarenje u istom razdoblju prethodne godine. Navedeno povećanje prvenstveno je rezultat povećanja:</w:t>
      </w:r>
    </w:p>
    <w:p w14:paraId="266070CB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 xml:space="preserve">prijenosa proračunskim korisnicima iz nadležnog proračuna za financiranje redovne djelatnosti  </w:t>
      </w:r>
      <w:r>
        <w:rPr>
          <w:i/>
        </w:rPr>
        <w:t>(šifra 367)</w:t>
      </w:r>
      <w:r>
        <w:t xml:space="preserve"> za 5.744.373,82 eura, zbog više plaćenih troškova rashoda redovnog poslovanja proračunskih korisnika,  </w:t>
      </w:r>
    </w:p>
    <w:p w14:paraId="5CD3D24B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rashoda za usluge (</w:t>
      </w:r>
      <w:r>
        <w:rPr>
          <w:i/>
        </w:rPr>
        <w:t>šifra 323)</w:t>
      </w:r>
      <w:r>
        <w:t xml:space="preserve"> i to za 1.586.738,56 eura, odnosno većih troškova tekućeg i investicijskog održavanja (održavanja javnih i zelenih površina te prometne signalizacije) komunalnih usluga i usluga promidžbe i informiranja,  </w:t>
      </w:r>
    </w:p>
    <w:p w14:paraId="45376A14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rashoda za subvencije (</w:t>
      </w:r>
      <w:r>
        <w:rPr>
          <w:i/>
        </w:rPr>
        <w:t>šifra 35)</w:t>
      </w:r>
      <w:r>
        <w:t xml:space="preserve"> koje bilježe povećanje od 1.011.401,75 eura, a koje se u cijelosti odnose na povećanje subvencija trgovačkim društvima, zadrugama, poljoprivrednicima i obrtnicima izvan javnog sektora, te više isplaćenih subvencija privatnim predškolskim ustanovama,</w:t>
      </w:r>
    </w:p>
    <w:p w14:paraId="79ED4B24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rashoda za zaposlene za 725.319,01 eura zbog povećanja osnovice za obračun plaća zaposlenika za 35%.   </w:t>
      </w:r>
    </w:p>
    <w:p w14:paraId="1F68A807" w14:textId="4D3A8845" w:rsidR="00C2431F" w:rsidRDefault="00C2431F" w:rsidP="002B11B1">
      <w:pPr>
        <w:spacing w:after="0"/>
        <w:jc w:val="both"/>
      </w:pPr>
    </w:p>
    <w:p w14:paraId="0D02E971" w14:textId="77777777" w:rsidR="00C2431F" w:rsidRDefault="00000000" w:rsidP="002B11B1">
      <w:pPr>
        <w:spacing w:after="60" w:line="240" w:lineRule="auto"/>
        <w:jc w:val="both"/>
      </w:pPr>
      <w:r>
        <w:t>Rashodi za nabavu nefinancijske imovine izvršeni su u iznosu 10.153.867,16 eura i u odnosu na ostvarenje u istom razdoblju prethodne godine veći su za 4.955.793,29 eura ili 95,3%. Navedeno povećanje rezultat je povećanja, kako slijedi:</w:t>
      </w:r>
    </w:p>
    <w:p w14:paraId="43C23FCF" w14:textId="77777777" w:rsidR="00C2431F" w:rsidRDefault="00000000" w:rsidP="002B11B1">
      <w:pPr>
        <w:pStyle w:val="Odlomakpopisa"/>
        <w:numPr>
          <w:ilvl w:val="0"/>
          <w:numId w:val="2"/>
        </w:numPr>
        <w:jc w:val="both"/>
      </w:pPr>
      <w:r>
        <w:t xml:space="preserve">rashoda za dodatna ulaganja na nefinancijskoj imovini koji bilježe rast za 3.286.785,23 eura prvenstveno zbog radova na proširenju Dječjeg vrtića Šibenski </w:t>
      </w:r>
      <w:proofErr w:type="spellStart"/>
      <w:r>
        <w:t>tići</w:t>
      </w:r>
      <w:proofErr w:type="spellEnd"/>
      <w:r>
        <w:t xml:space="preserve"> i radova na energetskoj obnovi Osnovne škole Petar Krešimir IV. te  </w:t>
      </w:r>
    </w:p>
    <w:p w14:paraId="0E16C50A" w14:textId="77777777" w:rsidR="00C2431F" w:rsidRDefault="00000000" w:rsidP="002B11B1">
      <w:pPr>
        <w:pStyle w:val="Odlomakpopisa"/>
        <w:numPr>
          <w:ilvl w:val="0"/>
          <w:numId w:val="2"/>
        </w:numPr>
        <w:jc w:val="both"/>
      </w:pPr>
      <w:r>
        <w:t>rashoda za nabavu proizvedene dugotrajne imovine i to građevinskih objekata (šifra 421), a koji bilježe povećanje za 2.394.962,11 eura zbog više utrošenih sredstava za gradnju ulica, cesta i javnih površina (</w:t>
      </w:r>
      <w:proofErr w:type="spellStart"/>
      <w:r>
        <w:t>Rendićeva</w:t>
      </w:r>
      <w:proofErr w:type="spellEnd"/>
      <w:r>
        <w:t xml:space="preserve"> ulica, Ulica sv. Spasa, pristupni put za Tvrđavu sv. Ivana, Ulica 3. studenog 1944., Ulica Bribirskih knezova, Ulica Vladimira Nazora, lokacija Vanjski, infrastruktura stambenog naselja </w:t>
      </w:r>
      <w:proofErr w:type="spellStart"/>
      <w:r>
        <w:t>Podsolarsko</w:t>
      </w:r>
      <w:proofErr w:type="spellEnd"/>
      <w:r>
        <w:t xml:space="preserve">, rekonstrukcija ceste na otoku </w:t>
      </w:r>
      <w:proofErr w:type="spellStart"/>
      <w:r>
        <w:t>Žirju</w:t>
      </w:r>
      <w:proofErr w:type="spellEnd"/>
      <w:r>
        <w:t xml:space="preserve">, izgradnja prometnice u Njivicama – OS1, uređenja trim staze u parku Rasadnik, uređenje igrališta na otoku </w:t>
      </w:r>
      <w:proofErr w:type="spellStart"/>
      <w:r>
        <w:t>Krapnju</w:t>
      </w:r>
      <w:proofErr w:type="spellEnd"/>
      <w:r>
        <w:t xml:space="preserve"> i u naselju </w:t>
      </w:r>
      <w:proofErr w:type="spellStart"/>
      <w:r>
        <w:t>Jadrija</w:t>
      </w:r>
      <w:proofErr w:type="spellEnd"/>
      <w:r>
        <w:t xml:space="preserve">, uređenje šetnice na </w:t>
      </w:r>
      <w:proofErr w:type="spellStart"/>
      <w:r>
        <w:t>Kapriju</w:t>
      </w:r>
      <w:proofErr w:type="spellEnd"/>
      <w:r>
        <w:t xml:space="preserve"> te postavljanja slavina na javne površine).  </w:t>
      </w:r>
    </w:p>
    <w:p w14:paraId="7A7325B1" w14:textId="77777777" w:rsidR="00423345" w:rsidRDefault="00423345" w:rsidP="002B11B1">
      <w:pPr>
        <w:jc w:val="both"/>
      </w:pPr>
    </w:p>
    <w:p w14:paraId="1A91C622" w14:textId="5B201FDC" w:rsidR="00C2431F" w:rsidRDefault="00000000" w:rsidP="002B11B1">
      <w:pPr>
        <w:spacing w:line="240" w:lineRule="auto"/>
        <w:jc w:val="both"/>
      </w:pPr>
      <w:r>
        <w:lastRenderedPageBreak/>
        <w:t>Izdaci za financijsku imovinu i otplate zajmova ostvareni su u iznosu od 551.055,76 eura, što je povećanje za 91.486,93 eura u odnosu na ostvarenje u istom razdoblju prethodne godine, a rezultat je otplate dugoročnog kredita odobrenog 2020. godine od strane HPB-a s počekom. Otplata navedenog zajma započela je u drugom tromjesečju 2024. godine.  </w:t>
      </w:r>
    </w:p>
    <w:p w14:paraId="656AD45A" w14:textId="77777777" w:rsidR="00C2431F" w:rsidRDefault="00000000" w:rsidP="002B11B1">
      <w:pPr>
        <w:jc w:val="both"/>
      </w:pPr>
      <w:r>
        <w:rPr>
          <w:b/>
        </w:rPr>
        <w:t xml:space="preserve">Slijedom navedenog proizlazi manjak prihoda i primitaka </w:t>
      </w:r>
      <w:r>
        <w:rPr>
          <w:b/>
          <w:i/>
        </w:rPr>
        <w:t>(šifra Y005)</w:t>
      </w:r>
      <w:r>
        <w:rPr>
          <w:b/>
        </w:rPr>
        <w:t xml:space="preserve"> u izvještajnom razdoblju u iznosu od 7.607.342,21 eura.</w:t>
      </w:r>
      <w:r>
        <w:t xml:space="preserve">   </w:t>
      </w:r>
    </w:p>
    <w:p w14:paraId="4E615DE8" w14:textId="77777777" w:rsidR="00C2431F" w:rsidRDefault="00000000" w:rsidP="002B11B1">
      <w:pPr>
        <w:spacing w:after="120" w:line="240" w:lineRule="auto"/>
        <w:jc w:val="both"/>
      </w:pPr>
      <w:r>
        <w:t>Struktura ostvarenog manjka u izvještajnom razdoblju je sljedeća:   </w:t>
      </w:r>
    </w:p>
    <w:p w14:paraId="085C65A0" w14:textId="77777777" w:rsidR="00C2431F" w:rsidRDefault="00000000" w:rsidP="002B11B1">
      <w:pPr>
        <w:pStyle w:val="Odlomakpopisa"/>
        <w:numPr>
          <w:ilvl w:val="0"/>
          <w:numId w:val="3"/>
        </w:numPr>
        <w:jc w:val="both"/>
      </w:pPr>
      <w:r>
        <w:t>višak prihoda poslovanja ostvaren je u iznosu od 2.924.877,04 eura (</w:t>
      </w:r>
      <w:r>
        <w:rPr>
          <w:i/>
        </w:rPr>
        <w:t>šifra X001)</w:t>
      </w:r>
      <w:r>
        <w:t xml:space="preserve"> ,  </w:t>
      </w:r>
    </w:p>
    <w:p w14:paraId="5BB36485" w14:textId="77777777" w:rsidR="00C2431F" w:rsidRDefault="00000000" w:rsidP="002B11B1">
      <w:pPr>
        <w:pStyle w:val="Odlomakpopisa"/>
        <w:numPr>
          <w:ilvl w:val="0"/>
          <w:numId w:val="3"/>
        </w:numPr>
        <w:jc w:val="both"/>
      </w:pPr>
      <w:r>
        <w:t>manjak prihoda od nefinancijske imovine ostvaren je u iznosu od 10.048.688,10 eura (</w:t>
      </w:r>
      <w:r>
        <w:rPr>
          <w:i/>
        </w:rPr>
        <w:t>šifra Y002</w:t>
      </w:r>
      <w:r>
        <w:t>) te  </w:t>
      </w:r>
    </w:p>
    <w:p w14:paraId="61223326" w14:textId="424206D3" w:rsidR="00C2431F" w:rsidRDefault="00000000" w:rsidP="002B11B1">
      <w:pPr>
        <w:pStyle w:val="Odlomakpopisa"/>
        <w:numPr>
          <w:ilvl w:val="0"/>
          <w:numId w:val="3"/>
        </w:numPr>
        <w:jc w:val="both"/>
      </w:pPr>
      <w:r>
        <w:t>manjak primitaka od financijske imovine ostvaren je u iznosu od 483.531,15 eura (</w:t>
      </w:r>
      <w:r>
        <w:rPr>
          <w:i/>
        </w:rPr>
        <w:t>šifra Y003</w:t>
      </w:r>
      <w:r>
        <w:t>).     </w:t>
      </w:r>
    </w:p>
    <w:p w14:paraId="54616A2A" w14:textId="77777777" w:rsidR="002B11B1" w:rsidRDefault="002B11B1" w:rsidP="002B11B1">
      <w:pPr>
        <w:pStyle w:val="Odlomakpopisa"/>
        <w:jc w:val="both"/>
      </w:pPr>
    </w:p>
    <w:p w14:paraId="781124A0" w14:textId="77777777" w:rsidR="00C2431F" w:rsidRDefault="00000000" w:rsidP="002B11B1">
      <w:pPr>
        <w:spacing w:line="240" w:lineRule="auto"/>
        <w:jc w:val="both"/>
      </w:pPr>
      <w:r>
        <w:rPr>
          <w:b/>
        </w:rPr>
        <w:t>Sagledavajući preneseni višak prihoda i primitaka iz ranijih godina (iznos od 4.139.566,69 eura) proizlazi manjak prihoda i primitaka za pokriće u sljedećem razdoblju u iznosu od 3.467.775,52 eura (</w:t>
      </w:r>
      <w:r>
        <w:rPr>
          <w:b/>
          <w:i/>
        </w:rPr>
        <w:t>šifra Y006</w:t>
      </w:r>
      <w:r>
        <w:rPr>
          <w:b/>
        </w:rPr>
        <w:t>).</w:t>
      </w:r>
    </w:p>
    <w:p w14:paraId="44B6F693" w14:textId="5460239F" w:rsidR="00C2431F" w:rsidRDefault="00C2431F"/>
    <w:p w14:paraId="3A1E4756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2B8C7330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6A3713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73BA6B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678BDB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112BE2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716434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C20A5F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69AE3570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62BCC95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954494C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POSLOVANJA (šifre 61+62+63+64+65+66+67+68)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18CA1E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B2CFF9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49.152.135,02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8559B9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52.588.203,48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73FE7D8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107,0</w:t>
            </w:r>
          </w:p>
        </w:tc>
      </w:tr>
    </w:tbl>
    <w:p w14:paraId="5B450026" w14:textId="77777777" w:rsidR="00C2431F" w:rsidRDefault="00C2431F">
      <w:pPr>
        <w:spacing w:after="0"/>
      </w:pPr>
    </w:p>
    <w:p w14:paraId="4CB0DF1A" w14:textId="07436128" w:rsidR="00C2431F" w:rsidRDefault="00000000" w:rsidP="002B11B1">
      <w:pPr>
        <w:jc w:val="both"/>
      </w:pPr>
      <w:r>
        <w:t>Prihodi poslovanja ostvareni su u izvještajnom razdoblju u iznosu od 52.588.203,48 eura i bilježe rast od 7% ili 3.436.068,46 eura u odnosu na ostvarenje u istom razdoblju prethodne godine, a što je najvećim dijelom rezultat povećanja prihoda od poreza na dohodak za 4.306.620,82 eura.</w:t>
      </w:r>
    </w:p>
    <w:p w14:paraId="0D16FB99" w14:textId="77777777" w:rsidR="002B11B1" w:rsidRDefault="002B11B1" w:rsidP="002B11B1">
      <w:pPr>
        <w:jc w:val="both"/>
      </w:pPr>
    </w:p>
    <w:p w14:paraId="386BD2B2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571129ED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B7ECB5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A4B5F7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899F4B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54D782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806628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7FFB00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00C02AB6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8824F13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A206DE9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Porez na dohodak (šifre 6111 do 6116 - 6117 - 6119)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9254D99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71ECB2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24.722.226,19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363CE6A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29.028.847,01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6F28409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117,4</w:t>
            </w:r>
          </w:p>
        </w:tc>
      </w:tr>
    </w:tbl>
    <w:p w14:paraId="673328A2" w14:textId="77777777" w:rsidR="00C2431F" w:rsidRDefault="00C2431F">
      <w:pPr>
        <w:spacing w:after="0"/>
      </w:pPr>
    </w:p>
    <w:p w14:paraId="22DEF459" w14:textId="44DCBADD" w:rsidR="00C2431F" w:rsidRDefault="00000000" w:rsidP="002B11B1">
      <w:pPr>
        <w:spacing w:line="240" w:lineRule="auto"/>
        <w:jc w:val="both"/>
      </w:pPr>
      <w:r>
        <w:t>Prihodi od poreza na dohodak bilježe povećanje u odnosu na ostvarenje u istom razdoblju prethodne godine za 17,4 % ili 4.306.620,82 eura. Na navedeno povećanje u najvećoj mjeri je utjecao rast prihoda od poreza na dohodak od nesamostalnog rada, i to za 3.879.260,24 eura. S obzirom da se od 1.1.2024. godine nisu mijenjale porezne stope poreza na dohodak (niža stopa iznosi 20%, a viša 30%) te da je od 1.1.2025. godine povećan osnovni osobni odbitak za uzdržavane članove, kao i prag za primjenu više stope poreza na dohodak, za pretpostaviti da je navedeno povećanje prihoda od poreza na dohodak od nesamostalnog rada rezultat rasta plaća i povećanja broja poreznih obveznika.</w:t>
      </w:r>
    </w:p>
    <w:p w14:paraId="5E50AE7B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lastRenderedPageBreak/>
        <w:t>Bilješka 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2E3E64B2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8428EB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C69906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8D62A7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B28100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AFB3BC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331F2D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3B021509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AA9CFC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613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F956208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Porezi na imovinu (šifre 6131 do 6135)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0DEAB18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613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956778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4.219.126,45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5357980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3.295.435,54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F82E11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78,1</w:t>
            </w:r>
          </w:p>
        </w:tc>
      </w:tr>
    </w:tbl>
    <w:p w14:paraId="59EDC067" w14:textId="77777777" w:rsidR="00C2431F" w:rsidRDefault="00C2431F">
      <w:pPr>
        <w:spacing w:after="0"/>
      </w:pPr>
    </w:p>
    <w:p w14:paraId="10FB09DC" w14:textId="77777777" w:rsidR="00C2431F" w:rsidRDefault="00000000" w:rsidP="002B11B1">
      <w:pPr>
        <w:jc w:val="both"/>
      </w:pPr>
      <w:r>
        <w:t>Prihodi od poreza na imovinu bilježe smanjenje, i to za 21,9% u odnosu na ostvarenje u istom razdoblju prethodne godine, što je najvećim dijelom posljedica izmjene zakonodavnog okvira kojim je regulirano oporezivanje nekretnina.</w:t>
      </w:r>
    </w:p>
    <w:p w14:paraId="09B5F99E" w14:textId="77777777" w:rsidR="00C2431F" w:rsidRDefault="00000000" w:rsidP="002B11B1">
      <w:pPr>
        <w:jc w:val="both"/>
      </w:pPr>
      <w:r>
        <w:t>Naime, Zakonom o izmjenama i dopunama Zakona o lokalnim porezima („Narodne novine“, broj 152/2024) ukinut je porez za kuće za odmor od 31. prosinca 2024. godine (za isti porez izdavala su se rješenja u svibnju svake godine), a od 1. siječnja 2025. godine uveden porez za nekretnine za kojeg su izdana rješenja tek 27.10.2025. godine.</w:t>
      </w:r>
    </w:p>
    <w:p w14:paraId="2535DAD2" w14:textId="77777777" w:rsidR="00C2431F" w:rsidRDefault="00000000" w:rsidP="002B11B1">
      <w:pPr>
        <w:jc w:val="both"/>
      </w:pPr>
      <w:r>
        <w:t>Zbog navedenih zakonskih izmjena bilježi se smanjenje stalnih poreza na nepokretnu imovinu za 218.844,04 eura ili 24,7% u odnosu na ostvarenje u istom razdoblju prethodne godine (od ukupno naplaćenog iznosa 67.103,08 eura se odnosi na ostvarene prihode od poreza na kuće za odmor, a 601.508,31 eura na ostvarene prihode od poreza na promet nekretnina).</w:t>
      </w:r>
    </w:p>
    <w:p w14:paraId="1E187B84" w14:textId="77777777" w:rsidR="00C2431F" w:rsidRDefault="00000000" w:rsidP="002B11B1">
      <w:pPr>
        <w:jc w:val="both"/>
      </w:pPr>
      <w:r>
        <w:t>Istodobno, u okviru ove podskupine bilježi se smanjenja aktivnosti na tržištu nekretnina, odnosno smanjenje prihoda od poreza na promet nekretnina za 704.846,87 eura ili 21,2% u odnosu na prethodno izvještajno razdoblje.</w:t>
      </w:r>
    </w:p>
    <w:p w14:paraId="2C472689" w14:textId="77777777" w:rsidR="00C2431F" w:rsidRDefault="00C2431F"/>
    <w:p w14:paraId="409E165C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71F8961D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BCC90E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1E0B53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494755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E656DB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42E84F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7AF7A6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0F8FF097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8A3D3AA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614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FFC07C8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Porezi na robu i usluge (šifre 6141 do 61476148)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2C37A7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614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03F10EA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686.022,30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E788C0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503.572,10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1A0595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73,4</w:t>
            </w:r>
          </w:p>
        </w:tc>
      </w:tr>
    </w:tbl>
    <w:p w14:paraId="200D9B1D" w14:textId="77777777" w:rsidR="00C2431F" w:rsidRDefault="00C2431F">
      <w:pPr>
        <w:spacing w:after="0"/>
      </w:pPr>
    </w:p>
    <w:p w14:paraId="45045B3C" w14:textId="77777777" w:rsidR="00C2431F" w:rsidRDefault="00000000">
      <w:r>
        <w:t>Porezi na robu i usluge bilježe smanjenje od 26,6% u odnosu na ostvarenje u istom razdoblju prethodne godine, što je najvećim dijelom rezultat smanjenja prihoda od poreza na potrošnju u iznosu 181.594,81 eura ili 26,5 % zbog smanjenja potrošnje alkoholnih pića (vinjak, rakiju i žestoka pića), prirodnih vina, specijalnih vina, piva i bezalkoholnih pića u ugostiteljskim objektima.</w:t>
      </w:r>
    </w:p>
    <w:p w14:paraId="532CF35F" w14:textId="77777777" w:rsidR="00C2431F" w:rsidRDefault="00C2431F"/>
    <w:p w14:paraId="7E8176E6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76851FA3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7BB4B4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743575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D7A135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F46060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C62A87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FE4C5C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15151438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C1BAC1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CA5121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Pomoći od međunarodnih organizacija te institucija i tijela EU (šifre 6321 do 6324)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3B4F22C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FBB63C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116.872,44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2EF319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377.197,87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D4F44F3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322,7</w:t>
            </w:r>
          </w:p>
        </w:tc>
      </w:tr>
    </w:tbl>
    <w:p w14:paraId="64B55839" w14:textId="77777777" w:rsidR="00C2431F" w:rsidRDefault="00C2431F">
      <w:pPr>
        <w:spacing w:after="0"/>
      </w:pPr>
    </w:p>
    <w:p w14:paraId="1C065F2C" w14:textId="77777777" w:rsidR="00C2431F" w:rsidRDefault="00000000" w:rsidP="002B11B1">
      <w:pPr>
        <w:spacing w:after="0" w:line="240" w:lineRule="auto"/>
        <w:jc w:val="both"/>
      </w:pPr>
      <w:r>
        <w:lastRenderedPageBreak/>
        <w:t>Pomoći od međunarodnih organizacija te institucija i tijela EU bilježe povećanje u odnosu na ostvarenje u istom razdoblju prethodne godine za 260.325,43 eura, odnosno 222,7%. Sveukupan iznos pomoći u izvještajnom razdoblju iznosi 377.197,87 eura, a odnose se na:</w:t>
      </w:r>
    </w:p>
    <w:p w14:paraId="3B7DD401" w14:textId="77777777" w:rsidR="00C2431F" w:rsidRDefault="00000000" w:rsidP="002B11B1">
      <w:pPr>
        <w:pStyle w:val="Odlomakpopisa"/>
        <w:numPr>
          <w:ilvl w:val="0"/>
          <w:numId w:val="1"/>
        </w:numPr>
      </w:pPr>
      <w:r>
        <w:t xml:space="preserve">Projekt </w:t>
      </w:r>
      <w:proofErr w:type="spellStart"/>
      <w:r>
        <w:t>Vidzeme</w:t>
      </w:r>
      <w:proofErr w:type="spellEnd"/>
      <w:r>
        <w:t xml:space="preserve"> </w:t>
      </w:r>
      <w:proofErr w:type="spellStart"/>
      <w:r>
        <w:t>Planning</w:t>
      </w:r>
      <w:proofErr w:type="spellEnd"/>
      <w:r>
        <w:t xml:space="preserve"> </w:t>
      </w:r>
      <w:proofErr w:type="spellStart"/>
      <w:r>
        <w:t>Region</w:t>
      </w:r>
      <w:proofErr w:type="spellEnd"/>
      <w:r>
        <w:t xml:space="preserve"> u iznosu 1.207,50 eura,</w:t>
      </w:r>
    </w:p>
    <w:p w14:paraId="653B0CF8" w14:textId="77777777" w:rsidR="00C2431F" w:rsidRDefault="00000000">
      <w:pPr>
        <w:pStyle w:val="Odlomakpopisa"/>
        <w:numPr>
          <w:ilvl w:val="0"/>
          <w:numId w:val="1"/>
        </w:numPr>
      </w:pPr>
      <w:r>
        <w:t>Projekt SITE u iznosu 74.641,10 eura,</w:t>
      </w:r>
    </w:p>
    <w:p w14:paraId="256D616F" w14:textId="77777777" w:rsidR="00C2431F" w:rsidRDefault="00000000">
      <w:pPr>
        <w:pStyle w:val="Odlomakpopisa"/>
        <w:numPr>
          <w:ilvl w:val="0"/>
          <w:numId w:val="1"/>
        </w:numPr>
      </w:pPr>
      <w:r>
        <w:t>Projekt RE-ACT u iznosu 6.196,80 eura,</w:t>
      </w:r>
    </w:p>
    <w:p w14:paraId="703FA2E8" w14:textId="77777777" w:rsidR="00C2431F" w:rsidRDefault="00000000">
      <w:pPr>
        <w:pStyle w:val="Odlomakpopisa"/>
        <w:numPr>
          <w:ilvl w:val="0"/>
          <w:numId w:val="1"/>
        </w:numPr>
      </w:pPr>
      <w:r>
        <w:t>Projekt SIRM (INTERREG EUROPE) u iznosu 53.485,50 eura,</w:t>
      </w:r>
    </w:p>
    <w:p w14:paraId="54599857" w14:textId="77777777" w:rsidR="00C2431F" w:rsidRDefault="00000000">
      <w:pPr>
        <w:pStyle w:val="Odlomakpopisa"/>
        <w:numPr>
          <w:ilvl w:val="0"/>
          <w:numId w:val="1"/>
        </w:numPr>
      </w:pPr>
      <w:r>
        <w:t>Projekt E-VOICE u iznosu 8.000,00 eura,</w:t>
      </w:r>
    </w:p>
    <w:p w14:paraId="0C361767" w14:textId="77777777" w:rsidR="00C2431F" w:rsidRDefault="00000000">
      <w:pPr>
        <w:pStyle w:val="Odlomakpopisa"/>
        <w:numPr>
          <w:ilvl w:val="0"/>
          <w:numId w:val="1"/>
        </w:numPr>
      </w:pPr>
      <w:r>
        <w:t>Projekt SUPERBE u iznosu 35.195,58 eura,</w:t>
      </w:r>
    </w:p>
    <w:p w14:paraId="122C7D13" w14:textId="77777777" w:rsidR="00C2431F" w:rsidRDefault="00000000">
      <w:pPr>
        <w:pStyle w:val="Odlomakpopisa"/>
        <w:numPr>
          <w:ilvl w:val="0"/>
          <w:numId w:val="1"/>
        </w:numPr>
      </w:pPr>
      <w:r>
        <w:t>Projekt RESIDENTS OF THE FUTURE u iznosu 196.165,39 eura i</w:t>
      </w:r>
    </w:p>
    <w:p w14:paraId="4FC6ED49" w14:textId="77777777" w:rsidR="00C2431F" w:rsidRDefault="00000000">
      <w:pPr>
        <w:pStyle w:val="Odlomakpopisa"/>
        <w:numPr>
          <w:ilvl w:val="0"/>
          <w:numId w:val="1"/>
        </w:numPr>
      </w:pPr>
      <w:r>
        <w:t>Projekt URBANA AGENDA ZA EU u iznosu 2.306,00 eura.</w:t>
      </w:r>
    </w:p>
    <w:p w14:paraId="1D89E9E1" w14:textId="77777777" w:rsidR="00C2431F" w:rsidRDefault="00C2431F"/>
    <w:p w14:paraId="4EDE26D7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56C4D9D7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B84F89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741CE0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28A21E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843BE2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9E4096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C49D03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7A9CDA05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8E5F87A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97A455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Pomoći proračunu i izvanproračunskim korisnicima iz drugih proračuna (šifre 6331+6332)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2C2554C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44F1DC6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2.346.141,13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A36149D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1.814.331,42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7C1A32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77,3</w:t>
            </w:r>
          </w:p>
        </w:tc>
      </w:tr>
    </w:tbl>
    <w:p w14:paraId="6E64DD43" w14:textId="77777777" w:rsidR="00C2431F" w:rsidRDefault="00C2431F">
      <w:pPr>
        <w:spacing w:after="0"/>
      </w:pPr>
    </w:p>
    <w:p w14:paraId="2E893F76" w14:textId="77777777" w:rsidR="00C2431F" w:rsidRDefault="00000000" w:rsidP="002B11B1">
      <w:pPr>
        <w:spacing w:line="240" w:lineRule="auto"/>
        <w:jc w:val="both"/>
      </w:pPr>
      <w:r>
        <w:t>Pomoći proračunu i izvanproračunskim korisnicima iz drugih proračuna bilježe smanjenje u odnosu na ostvarenje u istom razdoblju prethodne godine za 531.809,71 eura, što je najvećim dijelom rezultat promjene Računskog plana, sukladno kojem je otvoren novi odjeljak za praćenje pomoći fiskalnog izravnanja u okviru odjeljka 6353, a koji iznos se tijekom 2024. godine evidentirao u okviru šifre 633.</w:t>
      </w:r>
    </w:p>
    <w:p w14:paraId="62546FE7" w14:textId="77777777" w:rsidR="00C2431F" w:rsidRDefault="00000000" w:rsidP="002B11B1">
      <w:pPr>
        <w:spacing w:after="60"/>
        <w:jc w:val="both"/>
      </w:pPr>
      <w:r>
        <w:t>Sveukupan iznos pomoći u izvještajnom razdoblju iznosi 1.814.331,42 eura, a odnose se na:</w:t>
      </w:r>
    </w:p>
    <w:p w14:paraId="5C55C92F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pomoći dobivene iz državnog proračuna za fiskalnu održivost dječjih vrtića u iznosu od 975.205,00 eura (tekuća pomoć iz državnog proračuna),</w:t>
      </w:r>
    </w:p>
    <w:p w14:paraId="6213E8DD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 xml:space="preserve">sufinanciranje za realizaciju projekta </w:t>
      </w:r>
      <w:proofErr w:type="spellStart"/>
      <w:r>
        <w:t>Residents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Future u iznosu 11.437,91 eura (tekuća pomoć iz državnog proračuna),</w:t>
      </w:r>
    </w:p>
    <w:p w14:paraId="30D9497E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sufinanciranje za realizaciju projekta SIRM u iznosu 1.582,68 eura (tekuća pomoć),</w:t>
      </w:r>
    </w:p>
    <w:p w14:paraId="1AE52D22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sufinanciranje za realizaciju Projekta školski medni dani u iznosu 1.444,00 eura (tekuća pomoć iz državnog proračuna).</w:t>
      </w:r>
    </w:p>
    <w:p w14:paraId="65013A54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sufinanciranje izrade strategije razvoja urbanog područja Šibenik u iznosu 4.077,31 eura (kapitalna pomoć iz državnog proračuna),</w:t>
      </w:r>
    </w:p>
    <w:p w14:paraId="7B27A591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 xml:space="preserve">sufinanciranje sanacije pomorskog dobra na </w:t>
      </w:r>
      <w:proofErr w:type="spellStart"/>
      <w:r>
        <w:t>Jadriji</w:t>
      </w:r>
      <w:proofErr w:type="spellEnd"/>
      <w:r>
        <w:t xml:space="preserve"> u iznosu 200.000,00 eura (kapitalna pomoć iz državnog proračuna),</w:t>
      </w:r>
    </w:p>
    <w:p w14:paraId="3B07B1F3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sufinanciranje sanacije šetnice na otoku Zlarinu – II. faza u iznosu 57.200,00 eura (kapitala pomoć iz državnog proračuna),</w:t>
      </w:r>
    </w:p>
    <w:p w14:paraId="31427DF0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 xml:space="preserve">sufinanciranje uređenja dječjeg igrališta na </w:t>
      </w:r>
      <w:proofErr w:type="spellStart"/>
      <w:r>
        <w:t>Jadriji</w:t>
      </w:r>
      <w:proofErr w:type="spellEnd"/>
      <w:r>
        <w:t xml:space="preserve"> u iznosu 50.000,00 eura (kapitalna pomoć iz državnog proračuna),</w:t>
      </w:r>
    </w:p>
    <w:p w14:paraId="5EE61EAD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 xml:space="preserve">sufinanciranje sportskog i dječjeg igrališta na </w:t>
      </w:r>
      <w:proofErr w:type="spellStart"/>
      <w:r>
        <w:t>Krapnju</w:t>
      </w:r>
      <w:proofErr w:type="spellEnd"/>
      <w:r>
        <w:t xml:space="preserve"> u iznosu 60.974,23 eura (kapitalna pomoć iz državnog proračuna),</w:t>
      </w:r>
    </w:p>
    <w:p w14:paraId="3D33BF6B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 xml:space="preserve">sufinanciranje u rekonstrukciji ceste na otoku </w:t>
      </w:r>
      <w:proofErr w:type="spellStart"/>
      <w:r>
        <w:t>Žirju</w:t>
      </w:r>
      <w:proofErr w:type="spellEnd"/>
      <w:r>
        <w:t xml:space="preserve"> u iznosu 69.168,20 eura (kapitalna pomoć iz državnog proračuna),</w:t>
      </w:r>
    </w:p>
    <w:p w14:paraId="05434D48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 xml:space="preserve">sufinanciranje uređenja šetnice na otoku </w:t>
      </w:r>
      <w:proofErr w:type="spellStart"/>
      <w:r>
        <w:t>Kapriju</w:t>
      </w:r>
      <w:proofErr w:type="spellEnd"/>
      <w:r>
        <w:t xml:space="preserve"> – faza III u iznosu 25.974,33 eura (kapitalna pomoć iz državnog proračuna),</w:t>
      </w:r>
    </w:p>
    <w:p w14:paraId="01F87BBB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 xml:space="preserve">sufinanciranje uređenja i opremanja vrtića i igrališta u sklopu DV Smilje - DV </w:t>
      </w:r>
      <w:proofErr w:type="spellStart"/>
      <w:r>
        <w:t>Tintilinić</w:t>
      </w:r>
      <w:proofErr w:type="spellEnd"/>
      <w:r>
        <w:t xml:space="preserve"> u iznosu 30.132,76 eura (kapitalna pomoć),</w:t>
      </w:r>
    </w:p>
    <w:p w14:paraId="34AF6DBB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lastRenderedPageBreak/>
        <w:t xml:space="preserve">sufinanciranje u rekonstrukciji kreativnog prostora za potrebe MDF-a – kuća </w:t>
      </w:r>
      <w:proofErr w:type="spellStart"/>
      <w:r>
        <w:t>Ušić</w:t>
      </w:r>
      <w:proofErr w:type="spellEnd"/>
      <w:r>
        <w:t xml:space="preserve"> u iznosu 100.000,00 eura (kapitalna pomoć iz državnog proračuna),</w:t>
      </w:r>
    </w:p>
    <w:p w14:paraId="49116CA3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sufinanciranje Projekta rješavanja pristupačnosti objektima osoba s invaliditetom u iznosu 40.000,00 eura (kapitalna pomoć iz državnog proračuna),</w:t>
      </w:r>
    </w:p>
    <w:p w14:paraId="3C81818E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 xml:space="preserve">sufinanciranje uređenja </w:t>
      </w:r>
      <w:proofErr w:type="spellStart"/>
      <w:r>
        <w:t>Dvostukog</w:t>
      </w:r>
      <w:proofErr w:type="spellEnd"/>
      <w:r>
        <w:t xml:space="preserve"> bedema u iznosu 57.135,00 eura (kapitalna pomoć iz županijskog proračuna),</w:t>
      </w:r>
    </w:p>
    <w:p w14:paraId="4F540458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sufinanciranje sanacije pomorskog dobra (</w:t>
      </w:r>
      <w:proofErr w:type="spellStart"/>
      <w:r>
        <w:t>Jadrija</w:t>
      </w:r>
      <w:proofErr w:type="spellEnd"/>
      <w:r>
        <w:t xml:space="preserve">, Brodarica, </w:t>
      </w:r>
      <w:proofErr w:type="spellStart"/>
      <w:r>
        <w:t>Zablaće</w:t>
      </w:r>
      <w:proofErr w:type="spellEnd"/>
      <w:r>
        <w:t xml:space="preserve">, </w:t>
      </w:r>
      <w:proofErr w:type="spellStart"/>
      <w:r>
        <w:t>Žaborić</w:t>
      </w:r>
      <w:proofErr w:type="spellEnd"/>
      <w:r>
        <w:t>) u iznosu 114.858,40 (kapitalna pomoć iz državnog proračuna) i</w:t>
      </w:r>
    </w:p>
    <w:p w14:paraId="6537830D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 xml:space="preserve">sufinanciranje sanacije pomorskog dobra u </w:t>
      </w:r>
      <w:proofErr w:type="spellStart"/>
      <w:r>
        <w:t>Grebaštici</w:t>
      </w:r>
      <w:proofErr w:type="spellEnd"/>
      <w:r>
        <w:t xml:space="preserve"> u iznosu 15.141,60 eura (kapitalna pomoć iz županijskog proračuna).</w:t>
      </w:r>
    </w:p>
    <w:p w14:paraId="1DAB76D2" w14:textId="77777777" w:rsidR="00C2431F" w:rsidRDefault="00C2431F"/>
    <w:p w14:paraId="55FA1BBF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3F15BB9A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70756D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F9B318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FC7BD2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CB0EC3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A62F2C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1081B8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4143528F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FCAD27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2F82E89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Pomoći od izvanproračunskih korisnika (šifre 6341+6342)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61E36C7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028578C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904.838,66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6B354E0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725.830,83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8CBE5F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80,2</w:t>
            </w:r>
          </w:p>
        </w:tc>
      </w:tr>
    </w:tbl>
    <w:p w14:paraId="4EC31995" w14:textId="77777777" w:rsidR="00C2431F" w:rsidRDefault="00C2431F">
      <w:pPr>
        <w:spacing w:after="0"/>
      </w:pPr>
    </w:p>
    <w:p w14:paraId="2DB9369B" w14:textId="77777777" w:rsidR="00C2431F" w:rsidRDefault="00000000" w:rsidP="002B11B1">
      <w:pPr>
        <w:spacing w:after="60" w:line="240" w:lineRule="auto"/>
        <w:jc w:val="both"/>
      </w:pPr>
      <w:r>
        <w:t>Pomoći od izvanproračunskih korisnika bilježe smanjenje za 179.007,83 eura ili 19,8 % u odnosu na ostvarenje u istom razdoblju prethodne godine i to zbog manje doznačenih sredstava od strane Fonda za zaštitu okoliša i energetsku učinkovitost. Sveukupan iznos pomoći u izvještajnom razdoblju iznosi 725.830,83 eura, a odnosi se na:</w:t>
      </w:r>
    </w:p>
    <w:p w14:paraId="3570AB1B" w14:textId="77777777" w:rsidR="00C2431F" w:rsidRDefault="00000000">
      <w:pPr>
        <w:pStyle w:val="Odlomakpopisa"/>
        <w:numPr>
          <w:ilvl w:val="0"/>
          <w:numId w:val="1"/>
        </w:numPr>
      </w:pPr>
      <w:r>
        <w:t>naknade za uređenje cesta doznačene od strane Županijske uprave za ceste u ukupnom iznosu od 611.077,67 eura (tekuća pomoć) te  </w:t>
      </w:r>
    </w:p>
    <w:p w14:paraId="3E60F9A2" w14:textId="77777777" w:rsidR="00C2431F" w:rsidRDefault="00000000">
      <w:pPr>
        <w:pStyle w:val="Odlomakpopisa"/>
        <w:numPr>
          <w:ilvl w:val="0"/>
          <w:numId w:val="1"/>
        </w:numPr>
      </w:pPr>
      <w:r>
        <w:t>kapitalnu pomoć doznačenu od strane Fonda za zaštitu okoliša i energetsku učinkovitost u iznosu od 114.753,16 eura, temeljem Ugovora br. 2022/029756 o neposrednom sudjelovanju Fonda u sufinanciranju provedbe mjera klimatskih promjena iz nacionalnih i lokalnih planskih i strateških dokumenata, davanjem sredstava pomoći – dvije isplate i to za radove dovršene u prosincu 2024. i srpnju 2025. godine temeljem okončanih situacija.</w:t>
      </w:r>
    </w:p>
    <w:p w14:paraId="295598FD" w14:textId="77777777" w:rsidR="00C2431F" w:rsidRDefault="00C2431F"/>
    <w:p w14:paraId="53DAF348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4CABBFD8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1B3F50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FCC38F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8B2BF7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C6705C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7547D5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F58CC8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12869699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3EBA90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2BFFFB5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Pomoći izravnanja za decentralizirane funkcije i fiskalnog izravnanja (šifre 6351 do 6353)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AC182F9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CCA311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1.446.276,36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3CB419D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2.324.309,66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7A0E53A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160,7</w:t>
            </w:r>
          </w:p>
        </w:tc>
      </w:tr>
    </w:tbl>
    <w:p w14:paraId="504C2BB8" w14:textId="77777777" w:rsidR="00C2431F" w:rsidRDefault="00C2431F">
      <w:pPr>
        <w:spacing w:after="0"/>
      </w:pPr>
    </w:p>
    <w:p w14:paraId="15361E45" w14:textId="77777777" w:rsidR="00C2431F" w:rsidRDefault="00000000" w:rsidP="002B11B1">
      <w:pPr>
        <w:spacing w:after="0" w:line="240" w:lineRule="auto"/>
        <w:jc w:val="both"/>
      </w:pPr>
      <w:r>
        <w:t>Pomoći izravnanja za decentralizirane funkcije i fiskalnog izravnanja bilježe povećanje za 878.033,30 eura ili 60,7%, što je najvećim dijelom rezultat izmjene Računskog plana od 1.1.2025. godine, sukladno kojem je otvoren novi odjeljak za praćenje pomoći fiskalnog izravnanja u okviru odjeljka 6353, a koji iznos se tijekom 2024. godine evidentirao u okviru šifre 633. Sveukupan iznos ovih pomoći u izvještajnom razdoblju iznosi 2.324.309,66 eura, a odnosi se na:</w:t>
      </w:r>
    </w:p>
    <w:p w14:paraId="5833EA2C" w14:textId="77777777" w:rsidR="00C2431F" w:rsidRDefault="00000000">
      <w:pPr>
        <w:pStyle w:val="Odlomakpopisa"/>
        <w:numPr>
          <w:ilvl w:val="0"/>
          <w:numId w:val="1"/>
        </w:numPr>
      </w:pPr>
      <w:r>
        <w:t>pomoći izravnanja za decentralizirane funkcije osnovnog školstva u ukupnom iznosu od 978.129,62 eura,  </w:t>
      </w:r>
    </w:p>
    <w:p w14:paraId="5AAB8129" w14:textId="77777777" w:rsidR="00C2431F" w:rsidRDefault="00000000">
      <w:pPr>
        <w:pStyle w:val="Odlomakpopisa"/>
        <w:numPr>
          <w:ilvl w:val="0"/>
          <w:numId w:val="1"/>
        </w:numPr>
      </w:pPr>
      <w:r>
        <w:lastRenderedPageBreak/>
        <w:t>pomoći izravnanja za decentralizirane funkcije vatrogastva u ukupnom iznosu od 796.154,87 eura te  </w:t>
      </w:r>
    </w:p>
    <w:p w14:paraId="0086E04F" w14:textId="77777777" w:rsidR="00C2431F" w:rsidRDefault="00000000">
      <w:pPr>
        <w:pStyle w:val="Odlomakpopisa"/>
        <w:numPr>
          <w:ilvl w:val="0"/>
          <w:numId w:val="1"/>
        </w:numPr>
      </w:pPr>
      <w:r>
        <w:t>pomoći fiskalnog izravnanja u iznosu od 550.025,17 eura koja se od 1.1.2025. godine iskazuju u okviru ove šifre.</w:t>
      </w:r>
    </w:p>
    <w:p w14:paraId="5157E514" w14:textId="77777777" w:rsidR="00C2431F" w:rsidRDefault="00C2431F"/>
    <w:p w14:paraId="33FC1AD1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10.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3749D01B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99D8E1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C6174E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1CEAC9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0C0F60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5AC239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7DE540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05CB54C7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5C16D8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894C0F3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Pomoći temeljem prijenosa EU sredstava (šifre 6381+6382)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DBACE05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27E61F2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2.276.095,69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580495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1.790.154,70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58B8DC9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78,7</w:t>
            </w:r>
          </w:p>
        </w:tc>
      </w:tr>
    </w:tbl>
    <w:p w14:paraId="64801A67" w14:textId="77777777" w:rsidR="00C2431F" w:rsidRDefault="00C2431F">
      <w:pPr>
        <w:spacing w:after="0"/>
      </w:pPr>
    </w:p>
    <w:p w14:paraId="2181BF88" w14:textId="77777777" w:rsidR="00C2431F" w:rsidRDefault="00000000" w:rsidP="002B11B1">
      <w:pPr>
        <w:spacing w:line="240" w:lineRule="auto"/>
      </w:pPr>
      <w:r>
        <w:t>Pomoći temeljem prijenosa EU sredstava  bilježe smanjenje za 485.940,99 eura ili 21,3 % u odnosu na ostvarenje u istom razdoblju prethodne godine, a što je najvećim dijelom rezultat smanjenja kapitalnih pomoći (šifra 6382) u odnosu na isto izvještajno razdoblje prošle godine za 366.152,91 ili 19,4%.</w:t>
      </w:r>
    </w:p>
    <w:p w14:paraId="099D7D48" w14:textId="77777777" w:rsidR="00C2431F" w:rsidRDefault="00000000" w:rsidP="002B11B1">
      <w:pPr>
        <w:spacing w:line="240" w:lineRule="auto"/>
      </w:pPr>
      <w:r>
        <w:t>Sveukupan iznos kapitalnih pomoći u izvještajnom razdoblju iznosi 1.520.117,14 eura, a odnosi se na sredstva doznačena od, kako slijedi:</w:t>
      </w:r>
    </w:p>
    <w:p w14:paraId="79DBE175" w14:textId="77777777" w:rsidR="00C2431F" w:rsidRDefault="00000000" w:rsidP="002B11B1">
      <w:pPr>
        <w:pStyle w:val="Odlomakpopisa"/>
        <w:numPr>
          <w:ilvl w:val="0"/>
          <w:numId w:val="1"/>
        </w:numPr>
      </w:pPr>
      <w:r>
        <w:t xml:space="preserve">Agencije za plaćanja u poljoprivredi, ribarstvu i ruralnom razvoju za projekt uređenja Trga u </w:t>
      </w:r>
      <w:proofErr w:type="spellStart"/>
      <w:r>
        <w:t>Raslini</w:t>
      </w:r>
      <w:proofErr w:type="spellEnd"/>
      <w:r>
        <w:t xml:space="preserve"> u iznosu 28.206,22 eura,</w:t>
      </w:r>
    </w:p>
    <w:p w14:paraId="03654F73" w14:textId="77777777" w:rsidR="00C2431F" w:rsidRDefault="00000000" w:rsidP="002B11B1">
      <w:pPr>
        <w:pStyle w:val="Odlomakpopisa"/>
        <w:numPr>
          <w:ilvl w:val="0"/>
          <w:numId w:val="1"/>
        </w:numPr>
      </w:pPr>
      <w:r>
        <w:t>Ministarstva prostornog uređenja i gradnje za potrebe projekta energetske obnove Osnovne škole Petra Krešimira IV u iznosu 1.142.788,87 eura,</w:t>
      </w:r>
    </w:p>
    <w:p w14:paraId="60A5B1B0" w14:textId="77777777" w:rsidR="00C2431F" w:rsidRDefault="00000000" w:rsidP="002B11B1">
      <w:pPr>
        <w:pStyle w:val="Odlomakpopisa"/>
        <w:numPr>
          <w:ilvl w:val="0"/>
          <w:numId w:val="1"/>
        </w:numPr>
      </w:pPr>
      <w:r>
        <w:t xml:space="preserve">Ministarstva regionalnog razvoja i fondova Europske unije za potrebe projekta Razvoj i unaprjeđenje vatrogastva na otocima </w:t>
      </w:r>
      <w:proofErr w:type="spellStart"/>
      <w:r>
        <w:t>Kapriju</w:t>
      </w:r>
      <w:proofErr w:type="spellEnd"/>
      <w:r>
        <w:t xml:space="preserve">, Zlarinu i </w:t>
      </w:r>
      <w:proofErr w:type="spellStart"/>
      <w:r>
        <w:t>Žirju</w:t>
      </w:r>
      <w:proofErr w:type="spellEnd"/>
      <w:r>
        <w:t xml:space="preserve"> u iznosu 25.816,62 eura i</w:t>
      </w:r>
    </w:p>
    <w:p w14:paraId="4F9E8EA5" w14:textId="77777777" w:rsidR="00C2431F" w:rsidRDefault="00000000" w:rsidP="002B11B1">
      <w:pPr>
        <w:pStyle w:val="Odlomakpopisa"/>
        <w:numPr>
          <w:ilvl w:val="0"/>
          <w:numId w:val="1"/>
        </w:numPr>
      </w:pPr>
      <w:r>
        <w:t xml:space="preserve">Ministarstva znanosti, obrazovanja i mladih za potrebe projekta povećanja kapaciteta Dječjeg vrtića Šibenski </w:t>
      </w:r>
      <w:proofErr w:type="spellStart"/>
      <w:r>
        <w:t>tići</w:t>
      </w:r>
      <w:proofErr w:type="spellEnd"/>
      <w:r>
        <w:t xml:space="preserve"> u iznosu 323.305,43 eura.  </w:t>
      </w:r>
    </w:p>
    <w:p w14:paraId="5B47FAB6" w14:textId="77777777" w:rsidR="002B11B1" w:rsidRDefault="002B11B1" w:rsidP="002B11B1">
      <w:pPr>
        <w:spacing w:after="0" w:line="240" w:lineRule="auto"/>
      </w:pPr>
    </w:p>
    <w:p w14:paraId="10D32464" w14:textId="523F23A9" w:rsidR="00C2431F" w:rsidRDefault="00000000" w:rsidP="002B11B1">
      <w:pPr>
        <w:spacing w:after="0" w:line="240" w:lineRule="auto"/>
      </w:pPr>
      <w:r>
        <w:t>U okviru ove podskupine bilježi se i smanjenje tekućih pomoći temeljem prijenosa EU sredstava (šifra 6381) za 119.788,08 ili 30,7%. Sveukupan iznos tekućih pomoći u izvještajnom razdoblju iznosi 270.037,56 eura, a odnosi se na sredstva doznačena od, kako slijedi:</w:t>
      </w:r>
    </w:p>
    <w:p w14:paraId="0F27B8A5" w14:textId="77777777" w:rsidR="00C2431F" w:rsidRDefault="00000000" w:rsidP="002B11B1">
      <w:pPr>
        <w:pStyle w:val="Odlomakpopisa"/>
        <w:numPr>
          <w:ilvl w:val="0"/>
          <w:numId w:val="4"/>
        </w:numPr>
      </w:pPr>
      <w:r>
        <w:t>Agencije za plaćanje u poljoprivredi, ribarstvu i ruralnom razvoju za projekt Školska shema u iznosu 31.638,98 eura,</w:t>
      </w:r>
    </w:p>
    <w:p w14:paraId="01E33AC8" w14:textId="77777777" w:rsidR="00C2431F" w:rsidRDefault="00000000" w:rsidP="002B11B1">
      <w:pPr>
        <w:pStyle w:val="Odlomakpopisa"/>
        <w:numPr>
          <w:ilvl w:val="0"/>
          <w:numId w:val="4"/>
        </w:numPr>
      </w:pPr>
      <w:r>
        <w:t>Ministarstva znanosti, obrazovanja i mladih za potrebe projekta Pomoćnici u nastavi 6 u iznosu 167.663,10 eura i</w:t>
      </w:r>
    </w:p>
    <w:p w14:paraId="524C506A" w14:textId="7C4488F8" w:rsidR="00C2431F" w:rsidRDefault="00000000" w:rsidP="002B11B1">
      <w:pPr>
        <w:pStyle w:val="Odlomakpopisa"/>
        <w:numPr>
          <w:ilvl w:val="0"/>
          <w:numId w:val="4"/>
        </w:numPr>
      </w:pPr>
      <w:r>
        <w:t>Ministarstva regionalnog razvoja i fondova Europske unije za tehničku pomoć za projekt Integrirani teritorijalni program 2021.-2025. u iznosu 70.735,48 eura.</w:t>
      </w:r>
    </w:p>
    <w:p w14:paraId="0E883905" w14:textId="77777777" w:rsidR="002B11B1" w:rsidRDefault="002B11B1" w:rsidP="002B11B1">
      <w:pPr>
        <w:pStyle w:val="Odlomakpopisa"/>
      </w:pPr>
    </w:p>
    <w:p w14:paraId="66CA836E" w14:textId="77777777" w:rsidR="002B11B1" w:rsidRDefault="002B11B1" w:rsidP="002B11B1">
      <w:pPr>
        <w:pStyle w:val="Odlomakpopisa"/>
      </w:pPr>
    </w:p>
    <w:p w14:paraId="54B5C8E4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11.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700E97A5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CE8ADF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565CB9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D40664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AA0866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B50609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595D4B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70F65A28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ADC77F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639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6F45091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Prijenosi između proračunskih korisnika istog proračuna (šifre 6391 do 6394)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5C3D047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639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419E22D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108.328,93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0069C88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5.560,46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8AFF27C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5,1</w:t>
            </w:r>
          </w:p>
        </w:tc>
      </w:tr>
    </w:tbl>
    <w:p w14:paraId="35EDABF0" w14:textId="77777777" w:rsidR="00C2431F" w:rsidRDefault="00C2431F">
      <w:pPr>
        <w:spacing w:after="0"/>
      </w:pPr>
    </w:p>
    <w:p w14:paraId="79E9F651" w14:textId="77777777" w:rsidR="00C2431F" w:rsidRDefault="00000000" w:rsidP="002B11B1">
      <w:pPr>
        <w:spacing w:line="240" w:lineRule="auto"/>
        <w:jc w:val="both"/>
      </w:pPr>
      <w:r>
        <w:lastRenderedPageBreak/>
        <w:t xml:space="preserve">Prijenosi između proračunskih korisnika istog proračuna bilježe smanjenje za 102.768,47 eura ili 94,9% u odnosu na ostvarenje u istom razdoblju prethodne godine, a što je rezultat smanjenja kapitalnih prijenosa EU sredstava (šifra 6394) u odnosu na isto izvještajno razdoblje prošle godine za 104.353,93 ili 96,3% (ostvarenje u 2024. godini odnosi se na prijenose EU sredstava od strane proračunskih korisnika u sklopu projekata energetske obnove Gradske knjižnice „Juraj </w:t>
      </w:r>
      <w:proofErr w:type="spellStart"/>
      <w:r>
        <w:t>Šižgorić</w:t>
      </w:r>
      <w:proofErr w:type="spellEnd"/>
      <w:r>
        <w:t>“, HNK u Šibeniku, Muzeja grada Šibenika te ŠC Ljubica).</w:t>
      </w:r>
    </w:p>
    <w:p w14:paraId="1F9B835B" w14:textId="77777777" w:rsidR="00C2431F" w:rsidRDefault="00000000" w:rsidP="002B11B1">
      <w:pPr>
        <w:spacing w:after="0" w:line="240" w:lineRule="auto"/>
        <w:jc w:val="both"/>
      </w:pPr>
      <w:r>
        <w:t>Sveukupan iznos prijenosa između proračunskih korisnika istog proračuna u izvještajnom razdoblju iznosi 5.560,46 eura, a odnose se na:</w:t>
      </w:r>
    </w:p>
    <w:p w14:paraId="2C0AEC56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Kapitalni prijenos između proračunskih korisnika istog proračuna temeljem prijenosa EU sredstava u iznosu 3.975,00 eura za troškove projektantskog nadzora energetske obnove Gradske knjižice te  </w:t>
      </w:r>
    </w:p>
    <w:p w14:paraId="3A197483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tekući prijenos između proračunskih korisnika istog proračuna temeljem prijenosa EU sredstava u iznosu 1.585,46 eura za troškove promidžbe u sklopu projekta Energetske obnove Hrvatskog narodnog kazališta u Šibeniku.</w:t>
      </w:r>
    </w:p>
    <w:p w14:paraId="7D979430" w14:textId="77777777" w:rsidR="00C2431F" w:rsidRDefault="00C2431F"/>
    <w:p w14:paraId="3B1CE408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12.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51BA3314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E64E4A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FA44A5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CC4882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AA821E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F2862D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B63E0F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2F91DEB9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F466DD0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BEFC5C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imovine (šifre 641+642+643)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884A32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373692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2.076.027,16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D96E008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2.109.094,72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01D4FF8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101,6</w:t>
            </w:r>
          </w:p>
        </w:tc>
      </w:tr>
    </w:tbl>
    <w:p w14:paraId="0A1A1BFA" w14:textId="77777777" w:rsidR="00C2431F" w:rsidRDefault="00C2431F">
      <w:pPr>
        <w:spacing w:after="0"/>
      </w:pPr>
    </w:p>
    <w:p w14:paraId="26B00536" w14:textId="77777777" w:rsidR="00C2431F" w:rsidRDefault="00000000" w:rsidP="002B11B1">
      <w:pPr>
        <w:spacing w:after="0" w:line="240" w:lineRule="auto"/>
        <w:jc w:val="both"/>
      </w:pPr>
      <w:r>
        <w:t>Prihodi od imovine bilježe neznatno povećanje za 1,6% ili 33.067,56 eura u odnosu na ostvarenje u istom razdoblju prethodne godine.</w:t>
      </w:r>
    </w:p>
    <w:p w14:paraId="49C4B5B8" w14:textId="77777777" w:rsidR="00C2431F" w:rsidRDefault="00000000" w:rsidP="002B11B1">
      <w:pPr>
        <w:spacing w:after="0" w:line="240" w:lineRule="auto"/>
        <w:jc w:val="both"/>
      </w:pPr>
      <w:r>
        <w:t>U okviru ove skupine najveće povećanje bilježe:</w:t>
      </w:r>
    </w:p>
    <w:p w14:paraId="1A7C2A2A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 xml:space="preserve">prihodi s osnove naknade za korištenje nefinancijske imovine (šifra 6423), i to u iznosu 53.588,92 eura ili 77,6% koji se najvećim dijelom odnosi na naknadu za otkopavanje </w:t>
      </w:r>
      <w:proofErr w:type="spellStart"/>
      <w:r>
        <w:t>neenergetskih</w:t>
      </w:r>
      <w:proofErr w:type="spellEnd"/>
      <w:r>
        <w:t xml:space="preserve"> mineralnih sirovina te</w:t>
      </w:r>
    </w:p>
    <w:p w14:paraId="286A4A53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prihodi od naknade za koncesije (šifra 6421), i to u iznosu 17.246,27eura ili 3,1% zbog povećanja broja dozvola za uporabu pomorskog dobra.</w:t>
      </w:r>
    </w:p>
    <w:p w14:paraId="10B22D6B" w14:textId="77777777" w:rsidR="00C2431F" w:rsidRDefault="00C2431F" w:rsidP="002B11B1">
      <w:pPr>
        <w:spacing w:after="0" w:line="240" w:lineRule="auto"/>
        <w:jc w:val="both"/>
      </w:pPr>
    </w:p>
    <w:p w14:paraId="1E851E7E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13.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260D8491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3EF793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50A7B6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E2D672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EDB0E3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4BE60E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697510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785A498C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FA37987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D7A1B7D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upravnih i administrativnih pristojbi, pristojbi po posebnim propisima i naknada (šifre 651+652+653+654)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07D7689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8391D70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9.394.112,65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22B5051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9.126.227,53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2B517A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97,1</w:t>
            </w:r>
          </w:p>
        </w:tc>
      </w:tr>
    </w:tbl>
    <w:p w14:paraId="3AC469D0" w14:textId="77777777" w:rsidR="00C2431F" w:rsidRDefault="00C2431F">
      <w:pPr>
        <w:spacing w:after="0"/>
      </w:pPr>
    </w:p>
    <w:p w14:paraId="1C1C14F9" w14:textId="77777777" w:rsidR="00C2431F" w:rsidRDefault="00000000">
      <w:r>
        <w:t>Prihodi od upravnih i administrativnih pristojbi, pristojbi po posebnim propisima i naknade bilježe neznatno smanjenje od 2,9% u odnosu na ostvarenje u istom razdoblju prethodne godine. U okviru ove skupine  najveće smanjenje bilježe prihodi s osnove komunalne naknade (šifra 6532), i to za 327.733,73 eura ili 5,4% zbog poduzetih mjera prisilne naplate tijekom 2024. godine.</w:t>
      </w:r>
    </w:p>
    <w:p w14:paraId="7C5D6813" w14:textId="77777777" w:rsidR="00C2431F" w:rsidRDefault="00C2431F"/>
    <w:p w14:paraId="266E9604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lastRenderedPageBreak/>
        <w:t>Bilješka 14.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28812FE5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B7DEDB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914A22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79C852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AAD401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37FEC0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D8D805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61BDA008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F17370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8A8369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proizvoda i robe te pruženih usluga, prihodi od donacija te povrati po protestiranim jamstvima (šifre 661+663)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843B166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7F96EC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367.442,71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71B57C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613.747,55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F044450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167,0</w:t>
            </w:r>
          </w:p>
        </w:tc>
      </w:tr>
    </w:tbl>
    <w:p w14:paraId="42B12D32" w14:textId="77777777" w:rsidR="00C2431F" w:rsidRDefault="00C2431F">
      <w:pPr>
        <w:spacing w:after="0"/>
      </w:pPr>
    </w:p>
    <w:p w14:paraId="221FAC49" w14:textId="77777777" w:rsidR="00C2431F" w:rsidRDefault="00000000" w:rsidP="002B11B1">
      <w:pPr>
        <w:spacing w:after="0" w:line="240" w:lineRule="auto"/>
        <w:jc w:val="both"/>
      </w:pPr>
      <w:r>
        <w:t>Prihodi od prodaje proizvoda i robe te pruženih usluga, prihodi od donacija te povrati po protestiranim jamstvima bilježe povećanje za 246.304,84 eura ili 67% u odnosu na ostvarenje u istom razdoblju prethodne godine i to najvećim dijelom zbog:</w:t>
      </w:r>
    </w:p>
    <w:p w14:paraId="34212D2F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 xml:space="preserve">primljenih kapitalnih donacija u iznosu od 409.467,40 eura (od čega iznos od 19.230,00 eura na ime naknade troškova izrade VI. izmjena i dopuna UPU Podi, iznos od 368.653,70 eura za financiranje gradnje infrastrukture prometnice P4 </w:t>
      </w:r>
      <w:proofErr w:type="spellStart"/>
      <w:r>
        <w:t>Podsolarsko</w:t>
      </w:r>
      <w:proofErr w:type="spellEnd"/>
      <w:r>
        <w:t xml:space="preserve"> te iznos od 21.583,70 eura temeljem Ugovora o darovanju nekretnina) te</w:t>
      </w:r>
    </w:p>
    <w:p w14:paraId="77CF348B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primljene tekuće donacije u iznosu 30.400,00 eura za program Potencijali Zajednice.</w:t>
      </w:r>
    </w:p>
    <w:p w14:paraId="631FBBD8" w14:textId="77777777" w:rsidR="00C2431F" w:rsidRDefault="00C2431F"/>
    <w:p w14:paraId="53763757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15.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3CFE2CCD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935F7B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66C418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219C39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172180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110B50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8FD003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6EEAC957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E0980B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D9D1C2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Kazne, upravne mjere i ostali prihodi (šifre 681+683)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F4D7B8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68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A89AE5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488.624,35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EF1D21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873.894,09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E16774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178,8</w:t>
            </w:r>
          </w:p>
        </w:tc>
      </w:tr>
    </w:tbl>
    <w:p w14:paraId="403AF3D5" w14:textId="77777777" w:rsidR="00C2431F" w:rsidRDefault="00C2431F">
      <w:pPr>
        <w:spacing w:after="0"/>
      </w:pPr>
    </w:p>
    <w:p w14:paraId="30A91B81" w14:textId="77777777" w:rsidR="00C2431F" w:rsidRDefault="00000000" w:rsidP="002B11B1">
      <w:pPr>
        <w:spacing w:line="240" w:lineRule="auto"/>
        <w:jc w:val="both"/>
      </w:pPr>
      <w:r>
        <w:t xml:space="preserve">Kazne, upravne mjere i ostali prihodi bilježe povećanje za 78,8% ili 385.269,74 eura u odnosu na ostvarenje u istom razdoblju prethodne godine, što je u najvećoj mjeri rezultat povećanja ostalih prihoda (šifra 683) za 364.418,45 eura ili 652,3%. Isto povećanje se najvećim dijelom odnosi na zadržavanje depozita sukladno čl. 6.1. Ugovora o prodaji i prijenosu dionica HNK Šibenik u iznosu od 398.168,43 eura te povećanju prihoda od </w:t>
      </w:r>
      <w:proofErr w:type="spellStart"/>
      <w:r>
        <w:t>prefakturiranja</w:t>
      </w:r>
      <w:proofErr w:type="spellEnd"/>
      <w:r>
        <w:t xml:space="preserve"> troškova pričuve koje je poraslo zbog energetske obnove zgrada.   </w:t>
      </w:r>
    </w:p>
    <w:p w14:paraId="6290F7A2" w14:textId="77777777" w:rsidR="00C2431F" w:rsidRDefault="00000000" w:rsidP="002B11B1">
      <w:pPr>
        <w:spacing w:line="240" w:lineRule="auto"/>
        <w:jc w:val="both"/>
      </w:pPr>
      <w:r>
        <w:t>U okviru ove skupine bilježi se i povećanja prihoda s osnove kazni za prometne prekršaje (šifra 6815) koji su veći za 40.135,39 eura ili 10,1% u odnosu na isto razdoblje prethodne godine.</w:t>
      </w:r>
    </w:p>
    <w:p w14:paraId="6E78DE89" w14:textId="77777777" w:rsidR="00C2431F" w:rsidRDefault="00C2431F"/>
    <w:p w14:paraId="2DFE220F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16.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4EBD630F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96D6FB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662B5C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3E3D93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711425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C29D26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B797D0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1431E0DF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28E0C2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E759FA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POSLOVANJA (šifre 31+32+34+35+36+37+38)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17B38FC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F4621E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39.511.480,02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08F1BE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49.663.326,44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D2DE18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125,7</w:t>
            </w:r>
          </w:p>
        </w:tc>
      </w:tr>
    </w:tbl>
    <w:p w14:paraId="588C82FB" w14:textId="77777777" w:rsidR="00C2431F" w:rsidRDefault="00C2431F">
      <w:pPr>
        <w:spacing w:after="0"/>
      </w:pPr>
    </w:p>
    <w:p w14:paraId="2189CB53" w14:textId="77777777" w:rsidR="00C2431F" w:rsidRDefault="00000000" w:rsidP="002B11B1">
      <w:pPr>
        <w:spacing w:after="0" w:line="240" w:lineRule="auto"/>
        <w:jc w:val="both"/>
      </w:pPr>
      <w:r>
        <w:t>Rashodi poslovanja izvršeni su u iznosu od 49.663.326,44 eura i  bilježe povećanje od 25,7% ili 10.151.846,42 eura u odnosu na ostvarenje u istom razdoblju prethodne godine. Navedeno povećanje prvenstveno je rezultat povećanja:</w:t>
      </w:r>
    </w:p>
    <w:p w14:paraId="3E49F775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prijenosa proračunskim korisnicima iz nadležnog proračuna (šifra 367) za financiranje redovne djelatnosti za 5.744.373,82 eura, zbog više plaćenih troškova rashoda redovnog poslovanja proračunskih korisnika,  </w:t>
      </w:r>
    </w:p>
    <w:p w14:paraId="36A72835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lastRenderedPageBreak/>
        <w:t>rashoda za usluge (šifra 323), i to za 1.586.738,56 eura, odnosno većih troškova tekućeg i investicijskog održavanja (održavanja javnih i zelenih površina te prometne signalizacije) komunalnih usluga i usluga promidžbe i informiranja,  </w:t>
      </w:r>
    </w:p>
    <w:p w14:paraId="45BE57E3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rashoda za subvencije (šifra 35) koje bilježe povećanje od 1.011.401,75 eura, a koje se u cijelosti odnose na povećanje subvencija trgovačkim društvima, zadrugama, poljoprivrednicima i obrtnicima izvan javnog sektora, te više isplaćenih subvencija privatnim predškolskim ustanovama,</w:t>
      </w:r>
    </w:p>
    <w:p w14:paraId="323E891D" w14:textId="77777777" w:rsidR="00C2431F" w:rsidRDefault="00000000" w:rsidP="002B11B1">
      <w:pPr>
        <w:pStyle w:val="Odlomakpopisa"/>
        <w:numPr>
          <w:ilvl w:val="0"/>
          <w:numId w:val="1"/>
        </w:numPr>
        <w:jc w:val="both"/>
      </w:pPr>
      <w:r>
        <w:t>rashoda za zaposlene za 725.319,01 eura, i to zbog povećanja osnovice za obračun plaća zaposlenika za 35%.   </w:t>
      </w:r>
    </w:p>
    <w:p w14:paraId="241EFBB9" w14:textId="77777777" w:rsidR="00C2431F" w:rsidRDefault="00C2431F"/>
    <w:p w14:paraId="53ABA80C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17.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78EDF6AE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B5AA4E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F753C3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F94AFA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622613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FF78D5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6F6E64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375468AC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C1D61D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E3EDC27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zaposlene (šifre 311+312+313)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C90B1B6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5FE8289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4.300.316,89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FE29F82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5.025.635,90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40DFA9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116,9</w:t>
            </w:r>
          </w:p>
        </w:tc>
      </w:tr>
    </w:tbl>
    <w:p w14:paraId="3C407031" w14:textId="77777777" w:rsidR="00C2431F" w:rsidRDefault="00C2431F">
      <w:pPr>
        <w:spacing w:after="0"/>
      </w:pPr>
    </w:p>
    <w:p w14:paraId="0F1CDC40" w14:textId="77777777" w:rsidR="00C2431F" w:rsidRDefault="00000000" w:rsidP="002B11B1">
      <w:pPr>
        <w:spacing w:line="240" w:lineRule="auto"/>
        <w:jc w:val="both"/>
      </w:pPr>
      <w:r>
        <w:t>Rashodi za zaposlene bilježe povećanje za 725.319,01 eura ili 16,9% u eura u odnosu na isto izvještajno razdoblje prethodne godine. i to prvenstveno zbog povećanja osnovice za obračun plaća zaposlenika za 35%.</w:t>
      </w:r>
    </w:p>
    <w:p w14:paraId="613A2B8F" w14:textId="77777777" w:rsidR="00C2431F" w:rsidRDefault="00C2431F"/>
    <w:p w14:paraId="0FA60284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18.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170D36E5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EBB353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EF4EF0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58278A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95B260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8CE134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4C6BB5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508909A2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0FFBD90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E183D5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Materijalni rashodi (šifre 321+322+323+324+325+329)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2F702F6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939599A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11.118.870,27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82F58AA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12.593.517,73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B694501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113,3</w:t>
            </w:r>
          </w:p>
        </w:tc>
      </w:tr>
    </w:tbl>
    <w:p w14:paraId="344376A0" w14:textId="77777777" w:rsidR="00C2431F" w:rsidRDefault="00C2431F">
      <w:pPr>
        <w:spacing w:after="0"/>
      </w:pPr>
    </w:p>
    <w:p w14:paraId="1B2AABBF" w14:textId="77777777" w:rsidR="00C2431F" w:rsidRDefault="00000000" w:rsidP="00C76BC5">
      <w:pPr>
        <w:spacing w:after="0" w:line="240" w:lineRule="auto"/>
        <w:jc w:val="both"/>
      </w:pPr>
      <w:r>
        <w:t>Materijalni rashodi bilježe povećanje od 13,3% ili 1.474.647,46 eura u odnosu na isto izvještajno razdoblje prethodne godine. Ova kategorija rashoda obuhvaća rashode za redovno poslovanje i rashode za izvršavanje programskih aktivnosti gradske uprave.  </w:t>
      </w:r>
    </w:p>
    <w:p w14:paraId="4F0B8D23" w14:textId="77777777" w:rsidR="00C2431F" w:rsidRDefault="00000000" w:rsidP="00C76BC5">
      <w:pPr>
        <w:spacing w:after="0" w:line="240" w:lineRule="auto"/>
        <w:jc w:val="both"/>
      </w:pPr>
      <w:r>
        <w:t>U strukturi materijalnih rashoda najveći udio čine rashodi za usluge (šifra 323) od 84,80%, a koji su ostvareni u iznosu od 10.679.869,43 eura, što je 17,4% više u odnosu na prethodno izvještajno razdoblje zbog većih troškova tekućeg i investicijskog održavanja (održavanja javnih i zelenih površina te prometne signalizacije), komunalnih usluga, usluga promidžbe i informiranja i računalnih usluga.</w:t>
      </w:r>
    </w:p>
    <w:p w14:paraId="09324DE3" w14:textId="77777777" w:rsidR="00C2431F" w:rsidRDefault="00000000" w:rsidP="00C76BC5">
      <w:pPr>
        <w:spacing w:after="0" w:line="240" w:lineRule="auto"/>
        <w:jc w:val="both"/>
      </w:pPr>
      <w:r>
        <w:t>U okviru ove skupine bilježi se smanjenje, kako slijedi:</w:t>
      </w:r>
    </w:p>
    <w:p w14:paraId="69E2AC98" w14:textId="77777777" w:rsidR="00C2431F" w:rsidRDefault="00000000" w:rsidP="00C76BC5">
      <w:pPr>
        <w:pStyle w:val="Odlomakpopisa"/>
        <w:numPr>
          <w:ilvl w:val="0"/>
          <w:numId w:val="1"/>
        </w:numPr>
        <w:jc w:val="both"/>
      </w:pPr>
      <w:r>
        <w:t>naknade troškova zaposlenima (šifra 321) za 9.534,23 eura ili 5,9%, zbog manjih troškova za službena putovanja u sklopu EU projekata,</w:t>
      </w:r>
    </w:p>
    <w:p w14:paraId="380426B9" w14:textId="77777777" w:rsidR="00C2431F" w:rsidRDefault="00000000" w:rsidP="00C76BC5">
      <w:pPr>
        <w:pStyle w:val="Odlomakpopisa"/>
        <w:numPr>
          <w:ilvl w:val="0"/>
          <w:numId w:val="1"/>
        </w:numPr>
        <w:jc w:val="both"/>
      </w:pPr>
      <w:r>
        <w:t>rashoda za materijal i energiju (šifra 322) za 18.730,61 eura ili 1,6% prvenstveno zbog manjih troškova energije te  </w:t>
      </w:r>
    </w:p>
    <w:p w14:paraId="652FCC8B" w14:textId="51D4A3AB" w:rsidR="00C2431F" w:rsidRDefault="00000000" w:rsidP="00C76BC5">
      <w:pPr>
        <w:pStyle w:val="Odlomakpopisa"/>
        <w:numPr>
          <w:ilvl w:val="0"/>
          <w:numId w:val="1"/>
        </w:numPr>
        <w:jc w:val="both"/>
      </w:pPr>
      <w:r>
        <w:t>ostalih nespomenutih rashoda poslovanja (šifra 329) za 83.766,83 ili 12,4%, najvećim dijelom zbog plaćanja poticajne naknade za smanjenje miješanog komunalnog otpada po Rješenju za 2022. godinu u izvještajnom razdoblju prethodne godine.</w:t>
      </w:r>
    </w:p>
    <w:p w14:paraId="75C6EF0C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lastRenderedPageBreak/>
        <w:t>Bilješka 19.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7F540404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BCD978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93B96D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E15E2B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8A7339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172E8A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054C69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0504DAEB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52B1A3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19AA20C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Financijski rashodi (šifre 341+342+343)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447AB48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C82CBFC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295.070,54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0D872CB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265.779,88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AB88CF8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90,1</w:t>
            </w:r>
          </w:p>
        </w:tc>
      </w:tr>
    </w:tbl>
    <w:p w14:paraId="264F0E2A" w14:textId="77777777" w:rsidR="00C2431F" w:rsidRDefault="00C2431F">
      <w:pPr>
        <w:spacing w:after="0"/>
      </w:pPr>
    </w:p>
    <w:p w14:paraId="41DF1BDA" w14:textId="77777777" w:rsidR="00C2431F" w:rsidRDefault="00000000" w:rsidP="00C76BC5">
      <w:pPr>
        <w:spacing w:line="240" w:lineRule="auto"/>
        <w:jc w:val="both"/>
      </w:pPr>
      <w:r>
        <w:t>Financijski rashodi ostvareni su u iznosu 265.779,88 eura i bilježe smanjenje za 29.290,66 eura ili 9,9% u odnosu na isto izvještajno razdoblje prethodne godine.</w:t>
      </w:r>
    </w:p>
    <w:p w14:paraId="273C55AF" w14:textId="77777777" w:rsidR="00C2431F" w:rsidRDefault="00000000" w:rsidP="00C76BC5">
      <w:pPr>
        <w:spacing w:line="240" w:lineRule="auto"/>
        <w:jc w:val="both"/>
      </w:pPr>
      <w:r>
        <w:t xml:space="preserve">Navedena skupina rashoda obuhvaća obveze za kamate za primljene kredite i zajmove (šifra 342), i to u iznosu 99.191,12 eura (ova podskupina bilježi neznatno smanjenje, a odnosi se na kamate s osnove dugoročnog kredita odobrenog 2020. godine od strane HPB-a i kamate na zajam odobren od strane Ministarstva financija za projekt </w:t>
      </w:r>
      <w:proofErr w:type="spellStart"/>
      <w:r>
        <w:t>Bikarac</w:t>
      </w:r>
      <w:proofErr w:type="spellEnd"/>
      <w:r>
        <w:t xml:space="preserve"> – faza I </w:t>
      </w:r>
      <w:proofErr w:type="spellStart"/>
      <w:r>
        <w:t>i</w:t>
      </w:r>
      <w:proofErr w:type="spellEnd"/>
      <w:r>
        <w:t xml:space="preserve"> faza II) te ostale financijske rashode (šifra 343) koji su ostvareni u iznosu od 166.588,76 eura (ova stavka bilježi smanjenje od 12,8% u odnosnu na isto izvještajno razdoblje prethodne godine zbog manjih rashoda s osnove zateznih kamata za nepodmirene obveze iz poslovnih odnosa za 86.094,40 eura).</w:t>
      </w:r>
    </w:p>
    <w:p w14:paraId="50AFEC18" w14:textId="77777777" w:rsidR="00C2431F" w:rsidRDefault="00C2431F"/>
    <w:p w14:paraId="0801468A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20.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61850745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3FBCC3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DD70B2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DD41D4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D74108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8AAB57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7FFF5C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08E979B1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774C77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6143109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Subvencije (šifre 351+352+353)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FAA113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A62665C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1.706.568,61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BFD9DE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2.717.970,36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BA08A60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159,3</w:t>
            </w:r>
          </w:p>
        </w:tc>
      </w:tr>
    </w:tbl>
    <w:p w14:paraId="7FEE35AB" w14:textId="77777777" w:rsidR="00C2431F" w:rsidRDefault="00C2431F">
      <w:pPr>
        <w:spacing w:after="0"/>
      </w:pPr>
    </w:p>
    <w:p w14:paraId="708DCE10" w14:textId="77777777" w:rsidR="00C2431F" w:rsidRDefault="00000000" w:rsidP="00C76BC5">
      <w:pPr>
        <w:spacing w:line="240" w:lineRule="auto"/>
        <w:jc w:val="both"/>
      </w:pPr>
      <w:r>
        <w:t>Subvencije bilježe povećanje od 1.011.401,75 eura ili 59,3% u odnosu na isto izvještajno razdoblje prethodne godine. Navedeno povećanje u cijelosti je rezultat povećanja subvencija trgovačkim društvima, zadrugama, poljoprivrednicima i obrtnicima izvan javnog sektora (šifra  352), te više isplaćenih subvencija privatnim predškolskim ustanovama.</w:t>
      </w:r>
    </w:p>
    <w:p w14:paraId="0B274037" w14:textId="77777777" w:rsidR="00C2431F" w:rsidRDefault="00C2431F"/>
    <w:p w14:paraId="7BD72FF4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21.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545E56C9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957A9C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3187D1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D83169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905C2A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D08279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CE4109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021C2B3C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23451A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C2E794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Pomoći dane u inozemstvo i unutar općeg proračuna (šifre 361+362+363+365+366+367+368+369)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DF02077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01A5691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18.329.609,14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D77AA4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23.545.550,90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2CC4912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128,5</w:t>
            </w:r>
          </w:p>
        </w:tc>
      </w:tr>
    </w:tbl>
    <w:p w14:paraId="0DB33B4C" w14:textId="77777777" w:rsidR="00C2431F" w:rsidRDefault="00C2431F">
      <w:pPr>
        <w:spacing w:after="0"/>
      </w:pPr>
    </w:p>
    <w:p w14:paraId="2FF68351" w14:textId="77777777" w:rsidR="00C2431F" w:rsidRDefault="00000000" w:rsidP="00C76BC5">
      <w:pPr>
        <w:spacing w:line="240" w:lineRule="auto"/>
        <w:jc w:val="both"/>
      </w:pPr>
      <w:r>
        <w:t>Pomoći dane u inozemstvo i unutar općeg proračuna izvršene su u iznosu od 23.545.550,90 eura i bilježe povećanje od 28,5% u odnosu na isto izvještajno razdoblje prethodne godine. Navedeno povećanje prvenstveno je rezultat povećanja troškova na šifri 367 – Prijenosi proračunskim korisnicima iz nadležnog proračuna za financiranje redovne djelatnosti za  5.744.373,79 eura, odnosno 34,4%, zbog više plaćenih troškova rashoda redovnog poslovanja proračunskih korisnika.</w:t>
      </w:r>
    </w:p>
    <w:p w14:paraId="1F188774" w14:textId="77777777" w:rsidR="00C2431F" w:rsidRDefault="00000000" w:rsidP="00C76BC5">
      <w:pPr>
        <w:spacing w:line="240" w:lineRule="auto"/>
        <w:jc w:val="both"/>
      </w:pPr>
      <w:r>
        <w:t xml:space="preserve">Od ukupno izvršenih prijenosa proračunskim korisnicima iz nadležnog proračuna iskazanih na šifri 367 u iznosu od 22.426.469,64 eura, iznos od 19.895.803,57 eura odnosi se na prijenos </w:t>
      </w:r>
      <w:r>
        <w:lastRenderedPageBreak/>
        <w:t>proračunskim korisnicima za financiranje rashoda poslovanja (šifra 3672), dok prijenosi proračunskim korisnicima za nabavu nefinancijske imovine (šifra 3673) iznose 2.530.666,07 eura i bilježe povećanje u odnosu na prethodno razdoblje prethodne godine za 2.138.945,67 eura.</w:t>
      </w:r>
    </w:p>
    <w:p w14:paraId="0B113C7E" w14:textId="77777777" w:rsidR="00C2431F" w:rsidRDefault="00000000" w:rsidP="00C76BC5">
      <w:pPr>
        <w:spacing w:after="0" w:line="240" w:lineRule="auto"/>
        <w:jc w:val="both"/>
      </w:pPr>
      <w:r>
        <w:t>U okviru ove skupine bilježi se i povećanje tekućih pomoći u odnosu na isto izvještajno razdoblje prethodne godine, i to kako slijedi:</w:t>
      </w:r>
    </w:p>
    <w:p w14:paraId="2F4A6EF6" w14:textId="77777777" w:rsidR="00C2431F" w:rsidRDefault="00000000" w:rsidP="00C76BC5">
      <w:pPr>
        <w:pStyle w:val="Odlomakpopisa"/>
        <w:numPr>
          <w:ilvl w:val="0"/>
          <w:numId w:val="1"/>
        </w:numPr>
        <w:jc w:val="both"/>
      </w:pPr>
      <w:r>
        <w:t xml:space="preserve">tekućih pomoći inozemnim vladama (šifra 3611) za 174,10% ili 82.572,12 eura, a odnosi se na prijenos sredstava partnerima na projektu </w:t>
      </w:r>
      <w:proofErr w:type="spellStart"/>
      <w:r>
        <w:t>Residents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future u iznosu od 130.001,97 eura te</w:t>
      </w:r>
    </w:p>
    <w:p w14:paraId="558FAE41" w14:textId="77777777" w:rsidR="00C2431F" w:rsidRDefault="00000000" w:rsidP="00C76BC5">
      <w:pPr>
        <w:pStyle w:val="Odlomakpopisa"/>
        <w:numPr>
          <w:ilvl w:val="0"/>
          <w:numId w:val="1"/>
        </w:numPr>
        <w:jc w:val="both"/>
      </w:pPr>
      <w:r>
        <w:t>tekućih pomoći drugom proračunu i izvanproračunskim korisnicima (šifra 3631) najvećim dijelom zbog isplaćenih sredstava Općini Bilice za potrebe fiskalne održivosti vrtića za pedagošku godinu 2024/2025. u iznosu 45.000,00 eura.</w:t>
      </w:r>
    </w:p>
    <w:p w14:paraId="041CDA1F" w14:textId="77777777" w:rsidR="00C2431F" w:rsidRDefault="00000000" w:rsidP="00C76BC5">
      <w:pPr>
        <w:pStyle w:val="Odlomakpopisa"/>
        <w:numPr>
          <w:ilvl w:val="0"/>
          <w:numId w:val="1"/>
        </w:numPr>
        <w:jc w:val="both"/>
      </w:pPr>
      <w:r>
        <w:t>tekućih prijenosa između proračunskih korisnika istog proračuna (šifra 3691) za 29.823,05 ili 51,3% i tekućih prijenosa između proračunskih korisnika temeljem prijenosa EU sredstava (šifra 3693) za 309.587,73 eura ili 117%, a navedeno se odnosi na sredstva za provedbu projekata Pomoćnici u nastavi 6 i Školska shema.</w:t>
      </w:r>
    </w:p>
    <w:p w14:paraId="70C39D5C" w14:textId="77777777" w:rsidR="00C76BC5" w:rsidRDefault="00C76BC5" w:rsidP="00C76BC5">
      <w:pPr>
        <w:spacing w:after="0" w:line="240" w:lineRule="auto"/>
        <w:jc w:val="both"/>
      </w:pPr>
    </w:p>
    <w:p w14:paraId="61E876F4" w14:textId="1AD4CCDB" w:rsidR="00C2431F" w:rsidRDefault="00000000" w:rsidP="00C76BC5">
      <w:pPr>
        <w:spacing w:after="0" w:line="240" w:lineRule="auto"/>
        <w:jc w:val="both"/>
      </w:pPr>
      <w:r>
        <w:t>Istodobno, u okviru ove skupine bilježi se smanjenje pomoći u odnosu na isto izvještajno razdoblje prethodne godine kako slijedi:</w:t>
      </w:r>
    </w:p>
    <w:p w14:paraId="2E28687A" w14:textId="77777777" w:rsidR="00C2431F" w:rsidRDefault="00000000" w:rsidP="00C76BC5">
      <w:pPr>
        <w:pStyle w:val="Odlomakpopisa"/>
        <w:numPr>
          <w:ilvl w:val="0"/>
          <w:numId w:val="5"/>
        </w:numPr>
        <w:jc w:val="both"/>
      </w:pPr>
      <w:r>
        <w:t>tekućih pomoći proračunskim korisnicima drugih proračuna (šifra 366) za 59,6% zbog sufinanciranja izrade studije izvodljivosti nove bolnice u iznosu 127.826,71 eura i Studija energetske učinkovitosti i obnovljivih izvora energije u iznosu 291.990,16 eura u istom izvještajnom razdoblju prethodne godine,</w:t>
      </w:r>
    </w:p>
    <w:p w14:paraId="5F3CD122" w14:textId="77777777" w:rsidR="00C2431F" w:rsidRDefault="00000000" w:rsidP="00C76BC5">
      <w:pPr>
        <w:pStyle w:val="Odlomakpopisa"/>
        <w:numPr>
          <w:ilvl w:val="0"/>
          <w:numId w:val="5"/>
        </w:numPr>
        <w:jc w:val="both"/>
      </w:pPr>
      <w:r>
        <w:t xml:space="preserve">tekućih pomoći temeljem prijenosa EU sredstava (šifra 368) zbog isplaćenih sredstva u iznosu od 161.145,61 eura partneru na projektu </w:t>
      </w:r>
      <w:proofErr w:type="spellStart"/>
      <w:r>
        <w:t>RaSTEM</w:t>
      </w:r>
      <w:proofErr w:type="spellEnd"/>
      <w:r>
        <w:t xml:space="preserve"> u istom izvještajnom razdoblju prethodne godine te  </w:t>
      </w:r>
    </w:p>
    <w:p w14:paraId="3B2FE3C3" w14:textId="77777777" w:rsidR="00C2431F" w:rsidRDefault="00000000" w:rsidP="00C76BC5">
      <w:pPr>
        <w:pStyle w:val="Odlomakpopisa"/>
        <w:numPr>
          <w:ilvl w:val="0"/>
          <w:numId w:val="5"/>
        </w:numPr>
        <w:jc w:val="both"/>
      </w:pPr>
      <w:r>
        <w:t xml:space="preserve">kapitalnih prijenosa između proračunskih korisnika istog proračuna temeljem prijenosa EU sredstava (šifra 3694) koji su u istom izvještajnom razdoblju prošle godine iznosili 420,731,52 eura zbog plaćenih troškova u sklopu EU projekta </w:t>
      </w:r>
      <w:proofErr w:type="spellStart"/>
      <w:r>
        <w:t>RaSTEM</w:t>
      </w:r>
      <w:proofErr w:type="spellEnd"/>
      <w:r>
        <w:t xml:space="preserve"> kojeg je provodio Grad Šibenik, a škole su sudjelovale kao partneri.</w:t>
      </w:r>
    </w:p>
    <w:p w14:paraId="37418496" w14:textId="77777777" w:rsidR="00C2431F" w:rsidRDefault="00C2431F" w:rsidP="00C76BC5">
      <w:pPr>
        <w:spacing w:line="240" w:lineRule="auto"/>
        <w:jc w:val="both"/>
      </w:pPr>
    </w:p>
    <w:p w14:paraId="678832AD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22.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713E2099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F0CFBE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0298E3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54182A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D3E6D7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EF9CFB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0A33BE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27391F58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7758E4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3E148E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Naknade građanima i kućanstvima na temelju osiguranja i druge naknade (šifre 371+372)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4B7E9B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E8EEDAC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752.244,22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C40BC8C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1.079.937,93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A8E114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143,6</w:t>
            </w:r>
          </w:p>
        </w:tc>
      </w:tr>
    </w:tbl>
    <w:p w14:paraId="55742AF0" w14:textId="77777777" w:rsidR="00C2431F" w:rsidRDefault="00C2431F">
      <w:pPr>
        <w:spacing w:after="0"/>
      </w:pPr>
    </w:p>
    <w:p w14:paraId="64A02D53" w14:textId="77777777" w:rsidR="00C2431F" w:rsidRDefault="00000000" w:rsidP="00C76BC5">
      <w:pPr>
        <w:jc w:val="both"/>
      </w:pPr>
      <w:r>
        <w:t>Naknade građanima i kućanstvima ostvarene su u iznosu od 1.079.937,93 eura, odnosno biježe rast od 43,6% u odnosu na isto izvještajno razdoblje prethodne godine, što je u cijelosti rezultat više isplaćenih naknada građanima i kućanstvima iz proračuna (šifra 372) za troškove stanovanja te više isplaćene pomoći za novorođenu djecu.</w:t>
      </w:r>
    </w:p>
    <w:p w14:paraId="6FF7B7D2" w14:textId="77777777" w:rsidR="00C2431F" w:rsidRDefault="00C2431F"/>
    <w:p w14:paraId="0D53D7FF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lastRenderedPageBreak/>
        <w:t>Bilješka 23.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2B7E21F7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49209E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192F2E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D7E72A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7010A2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DEEFDF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492B6D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460F01C6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0E9C6D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37EE6B9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donacije, kazne, naknade šteta i kapitalne pomoći (šifre 381+382+383+386)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6662A4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38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8702B20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3.008.800,35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2333BED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4.434.933,74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28EA9A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147,4</w:t>
            </w:r>
          </w:p>
        </w:tc>
      </w:tr>
    </w:tbl>
    <w:p w14:paraId="48C3D2CF" w14:textId="77777777" w:rsidR="00C2431F" w:rsidRDefault="00C2431F">
      <w:pPr>
        <w:spacing w:after="0"/>
      </w:pPr>
    </w:p>
    <w:p w14:paraId="1B7B2CCA" w14:textId="77777777" w:rsidR="00C2431F" w:rsidRDefault="00000000" w:rsidP="00C76BC5">
      <w:pPr>
        <w:spacing w:line="240" w:lineRule="auto"/>
        <w:jc w:val="both"/>
      </w:pPr>
      <w:r>
        <w:t>Ostali rashodi ostvareni su u iznosu od 4.434.933,74 eura i bilježe povećanje za 47,4% u odnosu na isto izvještajno razdoblje prethodne godine. Navedeno povećanje najvećim dijelom se odnosi na veći iznos danih tekućih donacija (šifra 381) DVD-ima, Vatrogasnoj zajednici grada Šibenika, kulturnim i sportskim udrugama te Turističkoj zajednici grada Šibenika u svrhu provođenja kulturnih manifestacija.</w:t>
      </w:r>
    </w:p>
    <w:p w14:paraId="5F71EFD6" w14:textId="77777777" w:rsidR="00C2431F" w:rsidRDefault="00000000" w:rsidP="00C76BC5">
      <w:pPr>
        <w:spacing w:after="0" w:line="240" w:lineRule="auto"/>
        <w:jc w:val="both"/>
      </w:pPr>
      <w:r>
        <w:t>Pored toga, u okviru ove skupine bilježi se povećanje rashoda u odnosu na isto izvještajno razdoblje prethodne godine kako slijedi:</w:t>
      </w:r>
    </w:p>
    <w:p w14:paraId="310AD643" w14:textId="77777777" w:rsidR="00C2431F" w:rsidRDefault="00000000" w:rsidP="00C76BC5">
      <w:pPr>
        <w:pStyle w:val="Odlomakpopisa"/>
        <w:numPr>
          <w:ilvl w:val="0"/>
          <w:numId w:val="1"/>
        </w:numPr>
        <w:jc w:val="both"/>
      </w:pPr>
      <w:r>
        <w:t>rashoda za kazne, penale i naknade štete (šifra 383) za 348.503,37 eura ili 143,7%, koje se odnose na plaćene naknade šteta temeljem sudskih presuda i izvansudskih nagodbi te</w:t>
      </w:r>
    </w:p>
    <w:p w14:paraId="07CA82F0" w14:textId="77777777" w:rsidR="00C2431F" w:rsidRDefault="00000000" w:rsidP="00C76BC5">
      <w:pPr>
        <w:pStyle w:val="Odlomakpopisa"/>
        <w:numPr>
          <w:ilvl w:val="0"/>
          <w:numId w:val="1"/>
        </w:numPr>
        <w:jc w:val="both"/>
      </w:pPr>
      <w:r>
        <w:t>rashoda za kapitalne pomoći (šifra 386) za 241.621,49 eura ili 160,7%, a odnose se na danu kapitalnu pomoć društvu Zeleni grad za sufinanciranje nabave komunalne opreme (podzemnih spremnika za sakupljanje miješanog komunalnog otpada) i sufinanciranje izgradnje komunalne infrastrukture poduzetničke zone Podi.  </w:t>
      </w:r>
    </w:p>
    <w:p w14:paraId="4F00EE36" w14:textId="77777777" w:rsidR="00C76BC5" w:rsidRDefault="00C76BC5" w:rsidP="00C76BC5">
      <w:pPr>
        <w:spacing w:after="0" w:line="240" w:lineRule="auto"/>
        <w:jc w:val="both"/>
      </w:pPr>
    </w:p>
    <w:p w14:paraId="7F0DE64F" w14:textId="04D73460" w:rsidR="00C2431F" w:rsidRDefault="00000000" w:rsidP="00C76BC5">
      <w:pPr>
        <w:spacing w:after="0" w:line="240" w:lineRule="auto"/>
        <w:jc w:val="both"/>
      </w:pPr>
      <w:r>
        <w:t>Sveukupan iznos kapitalnih donacija (šifra 382) u izvještajnom razdoblju iznosi 176.096,71 eura a odnosi se na dane donacije:</w:t>
      </w:r>
    </w:p>
    <w:p w14:paraId="53495C95" w14:textId="77777777" w:rsidR="00C2431F" w:rsidRDefault="00000000" w:rsidP="00C76BC5">
      <w:pPr>
        <w:pStyle w:val="Odlomakpopisa"/>
        <w:numPr>
          <w:ilvl w:val="0"/>
          <w:numId w:val="6"/>
        </w:numPr>
        <w:jc w:val="both"/>
      </w:pPr>
      <w:r>
        <w:t>CARITASU ŠIBENSKE BISKUPIJE u iznosu 50.000,00 eura,</w:t>
      </w:r>
    </w:p>
    <w:p w14:paraId="4071B1F2" w14:textId="77777777" w:rsidR="00C2431F" w:rsidRDefault="00000000" w:rsidP="00C76BC5">
      <w:pPr>
        <w:pStyle w:val="Odlomakpopisa"/>
        <w:numPr>
          <w:ilvl w:val="0"/>
          <w:numId w:val="6"/>
        </w:numPr>
        <w:jc w:val="both"/>
      </w:pPr>
      <w:r>
        <w:t>LUČKOJ UPRAVI ŠIBENSKO – KNINSKOJ u iznosu 66.000,00 eura,</w:t>
      </w:r>
    </w:p>
    <w:p w14:paraId="64C46761" w14:textId="77777777" w:rsidR="00C2431F" w:rsidRDefault="00000000" w:rsidP="00C76BC5">
      <w:pPr>
        <w:pStyle w:val="Odlomakpopisa"/>
        <w:numPr>
          <w:ilvl w:val="0"/>
          <w:numId w:val="6"/>
        </w:numPr>
        <w:jc w:val="both"/>
      </w:pPr>
      <w:r>
        <w:t>ŽUPI MARIJINA UZNESENJA ŽIRJE u iznosu 2.500,00 eura,</w:t>
      </w:r>
    </w:p>
    <w:p w14:paraId="5DBEE59A" w14:textId="77777777" w:rsidR="00C2431F" w:rsidRDefault="00000000" w:rsidP="00C76BC5">
      <w:pPr>
        <w:pStyle w:val="Odlomakpopisa"/>
        <w:numPr>
          <w:ilvl w:val="0"/>
          <w:numId w:val="6"/>
        </w:numPr>
        <w:jc w:val="both"/>
      </w:pPr>
      <w:r>
        <w:t>ŠIBENSKOJ BISKUPIJI u iznosu 28.000,00 eura i</w:t>
      </w:r>
    </w:p>
    <w:p w14:paraId="7F7B3E53" w14:textId="77777777" w:rsidR="00C2431F" w:rsidRDefault="00000000" w:rsidP="00C76BC5">
      <w:pPr>
        <w:pStyle w:val="Odlomakpopisa"/>
        <w:numPr>
          <w:ilvl w:val="0"/>
          <w:numId w:val="6"/>
        </w:numPr>
        <w:jc w:val="both"/>
      </w:pPr>
      <w:r>
        <w:t>KATOLIČKOJ OSNOVNOJ ŠKOLI u iznosu 29.596,71 eura.</w:t>
      </w:r>
    </w:p>
    <w:p w14:paraId="3613003F" w14:textId="77777777" w:rsidR="00C2431F" w:rsidRDefault="00C2431F"/>
    <w:p w14:paraId="11FD41BD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24.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756DA5E3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BCFA2C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7A3E80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60968E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20A324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C375E6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32E61E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6ED84535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A81FBAA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7A06886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materijalne imovine - prirodnih bogatstava (šifre 7111 do 7113)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FD6A643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8B51A0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977.413,36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6B54A0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68.245,00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3E5B833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7,0</w:t>
            </w:r>
          </w:p>
        </w:tc>
      </w:tr>
    </w:tbl>
    <w:p w14:paraId="79E3E36F" w14:textId="77777777" w:rsidR="00C2431F" w:rsidRDefault="00C2431F">
      <w:pPr>
        <w:spacing w:after="0"/>
      </w:pPr>
    </w:p>
    <w:p w14:paraId="28197CF3" w14:textId="2AECB1B2" w:rsidR="00C2431F" w:rsidRDefault="00000000" w:rsidP="0032487C">
      <w:pPr>
        <w:jc w:val="both"/>
      </w:pPr>
      <w:r>
        <w:t>Prihodi od prodaje materijalne imovine – prirodnih bogatstava bilježe smanjenje za 909.168,36 eura ili 93% iz razloga što je u prethodnom izvještajnom razdoblju realizirana prodaja građevinskog zemljišta u vlasništvu Grada u Industrijskoj zoni Podi.</w:t>
      </w:r>
    </w:p>
    <w:p w14:paraId="74DB45B3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lastRenderedPageBreak/>
        <w:t>Bilješka 25.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0828C09D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B0DD28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C531BB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B5A8FE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C4E42F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16AE4B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CD5910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719841B3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E71F41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721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4AD1063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Prihodi od prodaje građevinskih objekata (šifre 7211 do 7214)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E5A622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721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C7386B8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982.561,39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7042EE9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36.934,06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6889A66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3,8</w:t>
            </w:r>
          </w:p>
        </w:tc>
      </w:tr>
    </w:tbl>
    <w:p w14:paraId="791D5999" w14:textId="77777777" w:rsidR="00C2431F" w:rsidRDefault="00C2431F">
      <w:pPr>
        <w:spacing w:after="0"/>
      </w:pPr>
    </w:p>
    <w:p w14:paraId="7603403C" w14:textId="77777777" w:rsidR="00C2431F" w:rsidRDefault="00000000">
      <w:r>
        <w:t>Prihodi od prodaje građevinskih objekata bilježe smanjenje u odnosu na prethodno izvještajno razdoblje u iznosu od 945.627,33 eura, iz razloga što je u prethodnom izvještajnom razdoblju realizirana prodaja zgrade bivšeg studentskog doma na Šubićevu Šibensko-kninskoj županiji.</w:t>
      </w:r>
    </w:p>
    <w:p w14:paraId="75C42F29" w14:textId="77777777" w:rsidR="00C2431F" w:rsidRDefault="00C2431F"/>
    <w:p w14:paraId="0252315B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26.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088B5A39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63C347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EB5B33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BA92AB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3D93B8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FCE4E1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89789B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0050B12A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510F247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62B8920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Rashodi za nabavu </w:t>
            </w:r>
            <w:proofErr w:type="spellStart"/>
            <w:r>
              <w:rPr>
                <w:sz w:val="18"/>
              </w:rPr>
              <w:t>neproizvedene</w:t>
            </w:r>
            <w:proofErr w:type="spellEnd"/>
            <w:r>
              <w:rPr>
                <w:sz w:val="18"/>
              </w:rPr>
              <w:t xml:space="preserve"> dugotrajne imovine (šifre 411+412)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F3869B7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23C6A33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880.145,88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2C2DC6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813.924,64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88E25E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92,5</w:t>
            </w:r>
          </w:p>
        </w:tc>
      </w:tr>
    </w:tbl>
    <w:p w14:paraId="32A94C2F" w14:textId="77777777" w:rsidR="00C2431F" w:rsidRDefault="00C2431F">
      <w:pPr>
        <w:spacing w:after="0"/>
      </w:pPr>
    </w:p>
    <w:p w14:paraId="23DC7C32" w14:textId="77777777" w:rsidR="00C2431F" w:rsidRDefault="00000000" w:rsidP="00C76BC5">
      <w:pPr>
        <w:spacing w:line="240" w:lineRule="auto"/>
        <w:jc w:val="both"/>
      </w:pPr>
      <w:r>
        <w:t xml:space="preserve">Rashodi za nabavu </w:t>
      </w:r>
      <w:proofErr w:type="spellStart"/>
      <w:r>
        <w:t>neproizvedene</w:t>
      </w:r>
      <w:proofErr w:type="spellEnd"/>
      <w:r>
        <w:t xml:space="preserve"> dugotrajne imovine bilježe smanjenje za 66.221,24 eura ili 7,5%. Navedeno je najvećim dijelom rezultat smanjenja rashoda za nabavu materijalne imovinu – prirodna bogatstva (šifra 411), odnosno naknade za izvlaštenje zemljišta u iznosu od 366.368,24 eura ili 78,6% u odnosu na isto izvještajno razdoblje prethodne godine.</w:t>
      </w:r>
    </w:p>
    <w:p w14:paraId="5C955936" w14:textId="77777777" w:rsidR="00C2431F" w:rsidRDefault="00000000" w:rsidP="00C76BC5">
      <w:pPr>
        <w:spacing w:line="240" w:lineRule="auto"/>
        <w:jc w:val="both"/>
      </w:pPr>
      <w:r>
        <w:t xml:space="preserve">U okviru ove skupine bilježi se i povećanje rashoda za nabavu nematerijalne imovine (šifra 412) u iznosu 300.147,00 eura ili 72,5% koje se najvećim dijelom odnosi na radove na uređenju kupališta </w:t>
      </w:r>
      <w:proofErr w:type="spellStart"/>
      <w:r>
        <w:t>Jadrija</w:t>
      </w:r>
      <w:proofErr w:type="spellEnd"/>
      <w:r>
        <w:t>.</w:t>
      </w:r>
    </w:p>
    <w:p w14:paraId="688C5EA8" w14:textId="77777777" w:rsidR="00C2431F" w:rsidRDefault="00C2431F"/>
    <w:p w14:paraId="6C183E67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27.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77399412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91EDA6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FAE356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942A37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C8665F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B02D57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6C38E5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1C7198E3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6F2744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E634D1D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nabavu proizvedene dugotrajne imovine (šifre 421+422+423+424+425+426)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292277A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C015A4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3.067.768,56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AF0F8E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4.802.997,86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98AC9E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156,6</w:t>
            </w:r>
          </w:p>
        </w:tc>
      </w:tr>
    </w:tbl>
    <w:p w14:paraId="4D0305BF" w14:textId="77777777" w:rsidR="00C2431F" w:rsidRDefault="00C2431F">
      <w:pPr>
        <w:spacing w:after="0"/>
      </w:pPr>
    </w:p>
    <w:p w14:paraId="08003C98" w14:textId="77777777" w:rsidR="00C2431F" w:rsidRDefault="00000000" w:rsidP="00C76BC5">
      <w:pPr>
        <w:spacing w:line="240" w:lineRule="auto"/>
        <w:jc w:val="both"/>
      </w:pPr>
      <w:r>
        <w:t>Rashodi za nabavu proizvedene dugotrajne imovine bilježe rast za 1.735.229,30 eura ili 56,6%. U okviru ove skupine bilježi se najveće povećanje rashoda za građevinske objekte (šifra 421), i to za 2.394.962,11 eura zbog više utrošenih sredstava za gradnju ulica, cesta i javnih površina (</w:t>
      </w:r>
      <w:proofErr w:type="spellStart"/>
      <w:r>
        <w:t>Rendićeva</w:t>
      </w:r>
      <w:proofErr w:type="spellEnd"/>
      <w:r>
        <w:t xml:space="preserve"> ulica, Ulica sv. Spasa, pristupni put za Tvrđavu sv. Ivana, Ulica 3. studenog 1944., Ulica Bribirskih knezova, Ulica Vladimira Nazora, lokacija Vanjski, infrastruktura stambenog naselja </w:t>
      </w:r>
      <w:proofErr w:type="spellStart"/>
      <w:r>
        <w:t>Podsolarsko</w:t>
      </w:r>
      <w:proofErr w:type="spellEnd"/>
      <w:r>
        <w:t xml:space="preserve">, rekonstrukcija ceste na otoku </w:t>
      </w:r>
      <w:proofErr w:type="spellStart"/>
      <w:r>
        <w:t>Žirju</w:t>
      </w:r>
      <w:proofErr w:type="spellEnd"/>
      <w:r>
        <w:t xml:space="preserve">, izgradnja prometnice u Njivicama – OS1, uređenja trim staze u parku Rasadnik, uređenje igrališta na otoku </w:t>
      </w:r>
      <w:proofErr w:type="spellStart"/>
      <w:r>
        <w:t>Krapnju</w:t>
      </w:r>
      <w:proofErr w:type="spellEnd"/>
      <w:r>
        <w:t xml:space="preserve"> i u naselju </w:t>
      </w:r>
      <w:proofErr w:type="spellStart"/>
      <w:r>
        <w:t>Jadrija</w:t>
      </w:r>
      <w:proofErr w:type="spellEnd"/>
      <w:r>
        <w:t xml:space="preserve">, uređenje šetnice na </w:t>
      </w:r>
      <w:proofErr w:type="spellStart"/>
      <w:r>
        <w:t>Kapriju</w:t>
      </w:r>
      <w:proofErr w:type="spellEnd"/>
      <w:r>
        <w:t xml:space="preserve"> te postavljanja slavina na javne površine).</w:t>
      </w:r>
    </w:p>
    <w:p w14:paraId="0C213C48" w14:textId="77777777" w:rsidR="00C2431F" w:rsidRDefault="00000000" w:rsidP="00C76BC5">
      <w:pPr>
        <w:spacing w:after="0" w:line="240" w:lineRule="auto"/>
        <w:jc w:val="both"/>
      </w:pPr>
      <w:r>
        <w:t>Istodobno, u okviru ove skupine bilježi se smanjenje rashoda, kako slijedi:</w:t>
      </w:r>
    </w:p>
    <w:p w14:paraId="72125E4F" w14:textId="77777777" w:rsidR="00C2431F" w:rsidRDefault="00000000" w:rsidP="00C76BC5">
      <w:pPr>
        <w:pStyle w:val="Odlomakpopisa"/>
        <w:numPr>
          <w:ilvl w:val="0"/>
          <w:numId w:val="1"/>
        </w:numPr>
        <w:jc w:val="both"/>
      </w:pPr>
      <w:r>
        <w:t xml:space="preserve">rashoda za nabavu postrojenja i opreme (šifra 422) u iznosu 550.486,94 eura ili 48,3% u odnosu na izvještajno razdoblje prošle godine što je prvenstveno rezultat nabave </w:t>
      </w:r>
      <w:r>
        <w:lastRenderedPageBreak/>
        <w:t xml:space="preserve">sustava videonadzora javnih površina i  računalne opreme za škole u sklopu projekta </w:t>
      </w:r>
      <w:proofErr w:type="spellStart"/>
      <w:r>
        <w:t>RaSTEM</w:t>
      </w:r>
      <w:proofErr w:type="spellEnd"/>
      <w:r>
        <w:t xml:space="preserve"> u 2024. godini te</w:t>
      </w:r>
    </w:p>
    <w:p w14:paraId="45B8F9D4" w14:textId="77777777" w:rsidR="00C2431F" w:rsidRDefault="00000000" w:rsidP="00C76BC5">
      <w:pPr>
        <w:pStyle w:val="Odlomakpopisa"/>
        <w:numPr>
          <w:ilvl w:val="0"/>
          <w:numId w:val="1"/>
        </w:numPr>
        <w:jc w:val="both"/>
      </w:pPr>
      <w:r>
        <w:t>rashoda za nabavu nematerijalne proizvedene imovine (šifra 426) u iznosu 97.583,37 eura ili 31% u odnosno na isto izvještajno razdoblje prošle godine zbog više nabavljenih studija, elaborata i analiza projekata u 2024. godini, a čija je realizacija započeta u 2025. godini.</w:t>
      </w:r>
    </w:p>
    <w:p w14:paraId="6455210A" w14:textId="77777777" w:rsidR="00C2431F" w:rsidRDefault="00C2431F"/>
    <w:p w14:paraId="30E17378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28.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7C4E0592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4179F9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951DA9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43AB26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ADC2A4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B4F03D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15245D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379BF276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838A25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FB961B1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Rashodi za dodatna ulaganja na nefinancijskoj imovini (šifre 451 do 454)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5E5749A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45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EB725B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1.250.159,43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32EBB4B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4.536.944,66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2D3EF9C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362,9</w:t>
            </w:r>
          </w:p>
        </w:tc>
      </w:tr>
    </w:tbl>
    <w:p w14:paraId="74B17AF2" w14:textId="77777777" w:rsidR="00C2431F" w:rsidRDefault="00C2431F">
      <w:pPr>
        <w:spacing w:after="0"/>
      </w:pPr>
    </w:p>
    <w:p w14:paraId="57C68D33" w14:textId="77777777" w:rsidR="00C2431F" w:rsidRDefault="00000000" w:rsidP="00C76BC5">
      <w:pPr>
        <w:jc w:val="both"/>
      </w:pPr>
      <w:r>
        <w:t xml:space="preserve">Rashodi za dodatna ulaganja na nefinancijskoj imovini bilježe rast za 3.286.785,23 eura, i to prvenstveno zbog radova na proširenju Dječjeg vrtića Šibenski </w:t>
      </w:r>
      <w:proofErr w:type="spellStart"/>
      <w:r>
        <w:t>tići</w:t>
      </w:r>
      <w:proofErr w:type="spellEnd"/>
      <w:r>
        <w:t xml:space="preserve"> i radova na energetskoj obnovi Osnovne škole Petra Krešimira IV.</w:t>
      </w:r>
    </w:p>
    <w:p w14:paraId="7723BDF5" w14:textId="77777777" w:rsidR="00C2431F" w:rsidRDefault="00C2431F"/>
    <w:p w14:paraId="313B5771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29.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75FEE50E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C96523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DDC920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1DAB0B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DB95F3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B860CC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0A4312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3D6837D6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EA6514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812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D881E87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Primici (povrati) glavnice zajmova danih neprofitnim organizacijama, građanima i kućanstvima (šifre 8121+8122)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A07FAC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812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F2DA1E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39.548,95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4A8F86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36.157,19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14F61C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91,4</w:t>
            </w:r>
          </w:p>
        </w:tc>
      </w:tr>
    </w:tbl>
    <w:p w14:paraId="6232ED53" w14:textId="77777777" w:rsidR="00C2431F" w:rsidRDefault="00C2431F">
      <w:pPr>
        <w:spacing w:after="0"/>
      </w:pPr>
    </w:p>
    <w:p w14:paraId="56C76829" w14:textId="77777777" w:rsidR="00C2431F" w:rsidRDefault="00000000" w:rsidP="00C76BC5">
      <w:pPr>
        <w:spacing w:line="240" w:lineRule="auto"/>
        <w:jc w:val="both"/>
      </w:pPr>
      <w:r>
        <w:t xml:space="preserve">Primici (povrati) zajmova danih neprofitnim organizacijama, građanima i kućanstvima u tuzemstvu ostvareni su u iznosu od 36.157,19 eura i manji su u odnosu na isto razdoblje prethodne godine za 3.391,76 eura, odnosno 8,6%, a odnosi se na sredstva od prodaje stanova koja Agencija za pravni promet i posredovanje nekretnina doznačuje za projekt POS </w:t>
      </w:r>
      <w:proofErr w:type="spellStart"/>
      <w:r>
        <w:t>Meterize</w:t>
      </w:r>
      <w:proofErr w:type="spellEnd"/>
      <w:r>
        <w:t xml:space="preserve"> sukladno članku 29. stavku 3. Zakona o društveno poticajnoj stanogradnji („Narodne novine“, broj 109/01, 82/04, 79/06, 38/09, 86/12, 7/13 i 2/15).</w:t>
      </w:r>
    </w:p>
    <w:p w14:paraId="3AF3D306" w14:textId="77777777" w:rsidR="00C2431F" w:rsidRDefault="00C2431F"/>
    <w:p w14:paraId="36F356C3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30.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04756B4A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054388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A0A5E8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AD92AB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847DDB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8114A1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A5405F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532172AF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7A19CEC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834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E0DD58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Primici od prodaje dionica i udjela u glavnici trgovačkih društava izvan javnog sektora (šifre 8341+8342)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3C6C841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834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BFD68D0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18.952,82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3AACF80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31.367,42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AE73678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165,5</w:t>
            </w:r>
          </w:p>
        </w:tc>
      </w:tr>
    </w:tbl>
    <w:p w14:paraId="45397C4A" w14:textId="77777777" w:rsidR="00C2431F" w:rsidRDefault="00C2431F">
      <w:pPr>
        <w:spacing w:after="0"/>
      </w:pPr>
    </w:p>
    <w:p w14:paraId="4F8512BD" w14:textId="061A77AE" w:rsidR="00C2431F" w:rsidRDefault="00000000" w:rsidP="00C76BC5">
      <w:pPr>
        <w:spacing w:line="240" w:lineRule="auto"/>
        <w:jc w:val="both"/>
      </w:pPr>
      <w:r>
        <w:t>Primici od prodaje dionica i udjela u glavnici trgovačkih društava izvan javnog sektora ostvareni su u iznosu od 31.367,42 eura i veći su u odnosu na isto razdoblje prethodne godine za 12.414,60 eura, odnosno 65,5%, a odnose se na uplatu preostalih novčanih sredstava društvu TEF d.d. u likvidaciji temeljem Odluke o raspodjeli imovine od 25.6.2025. godine.</w:t>
      </w:r>
    </w:p>
    <w:p w14:paraId="3F2CCBA1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lastRenderedPageBreak/>
        <w:t>Bilješka 31.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4431224C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48CB9B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5BCFC8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E31254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E700B4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B6C9D1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0D4864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4FEE6E8D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BFD8DC9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542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935192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Otplata glavnice primljenih kredita i zajmova od kreditnih i ostalih financijskih institucija u javnom sektoru (šifre 5422 do 5424)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5120145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542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EC79EB0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273.740,79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B1FB1FC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364.987,72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9FBE789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133,3</w:t>
            </w:r>
          </w:p>
        </w:tc>
      </w:tr>
    </w:tbl>
    <w:p w14:paraId="0913F3C3" w14:textId="77777777" w:rsidR="00C2431F" w:rsidRDefault="00C2431F">
      <w:pPr>
        <w:spacing w:after="0"/>
      </w:pPr>
    </w:p>
    <w:p w14:paraId="5D7B3FD4" w14:textId="77777777" w:rsidR="00C2431F" w:rsidRDefault="00000000" w:rsidP="00C76BC5">
      <w:pPr>
        <w:spacing w:line="240" w:lineRule="auto"/>
        <w:jc w:val="both"/>
      </w:pPr>
      <w:r>
        <w:t>Otplata glavnice primljenih kredita i zajmova od kreditnih i ostalih financijskih institucija u javnom sektoru ostvarena je u iznosu od 364.987,72 eura, a odnosi se na otplate dugoročnog kredita odobrenog 2020. godine od strane HPB-a s počekom. Otplata navedenog zajma započela je u drugom tromjesečju 2024. godine.</w:t>
      </w:r>
    </w:p>
    <w:p w14:paraId="5C4C8680" w14:textId="77777777" w:rsidR="00C2431F" w:rsidRDefault="00C2431F"/>
    <w:p w14:paraId="7ED0B835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32.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7FF92FCE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837D60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11B498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EE0783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4719ED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5E78BE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EEF5E1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2CFC200B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5ABEC6C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547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F99A500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Otplata glavnice primljenih zajmova od drugih razina vlasti (šifre 5471 do 5477)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45BF2ED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547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68346B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185.828,04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53D95E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185.828,04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6AD9A0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</w:t>
            </w:r>
          </w:p>
        </w:tc>
      </w:tr>
    </w:tbl>
    <w:p w14:paraId="5F6623BB" w14:textId="77777777" w:rsidR="00C2431F" w:rsidRDefault="00C2431F">
      <w:pPr>
        <w:spacing w:after="0"/>
      </w:pPr>
    </w:p>
    <w:p w14:paraId="777C0C35" w14:textId="39EF8104" w:rsidR="00C2431F" w:rsidRDefault="00000000" w:rsidP="00C76BC5">
      <w:pPr>
        <w:spacing w:line="240" w:lineRule="auto"/>
        <w:jc w:val="both"/>
      </w:pPr>
      <w:r>
        <w:t xml:space="preserve">Otplata glavnice primljenih zajmova od drugih razina vlasti ostvarena je u izvještajnom razdoblju u iznosu od 185.828,04 eura, a odnosi se na otplatu zajma odobrenog od strane Ministarstva financija za projekt izgradnje Centra za gospodarenjem otpada </w:t>
      </w:r>
      <w:proofErr w:type="spellStart"/>
      <w:r>
        <w:t>Bikarac</w:t>
      </w:r>
      <w:proofErr w:type="spellEnd"/>
      <w:r>
        <w:t xml:space="preserve"> – faza I </w:t>
      </w:r>
      <w:proofErr w:type="spellStart"/>
      <w:r>
        <w:t>i</w:t>
      </w:r>
      <w:proofErr w:type="spellEnd"/>
      <w:r>
        <w:t xml:space="preserve"> faza II.</w:t>
      </w:r>
    </w:p>
    <w:p w14:paraId="26CC7C57" w14:textId="77777777" w:rsidR="00C76BC5" w:rsidRDefault="00C76BC5"/>
    <w:p w14:paraId="3B52AEDB" w14:textId="77777777" w:rsidR="00C76BC5" w:rsidRDefault="00C76BC5"/>
    <w:p w14:paraId="319881B0" w14:textId="77777777" w:rsidR="00C76BC5" w:rsidRDefault="00C76BC5"/>
    <w:p w14:paraId="6CED5565" w14:textId="77777777" w:rsidR="00C2431F" w:rsidRDefault="00000000">
      <w:pPr>
        <w:keepNext/>
        <w:spacing w:line="240" w:lineRule="auto"/>
        <w:jc w:val="center"/>
      </w:pPr>
      <w:r>
        <w:rPr>
          <w:b/>
          <w:sz w:val="28"/>
        </w:rPr>
        <w:t>Bilanca</w:t>
      </w:r>
    </w:p>
    <w:p w14:paraId="67F2058A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33.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213816DC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ACB771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AA4A62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986856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8B9720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D59333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20DA9C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4EE23655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FD1B349" w14:textId="77777777" w:rsidR="00C2431F" w:rsidRDefault="00C2431F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AD7EEA8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IMOVINA (šifre B002+1)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8EB75A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B001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C0E5519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275.427.021,95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CE3857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234.132.294,23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F83D07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85,0</w:t>
            </w:r>
          </w:p>
        </w:tc>
      </w:tr>
    </w:tbl>
    <w:p w14:paraId="574B3C6F" w14:textId="77777777" w:rsidR="00C2431F" w:rsidRDefault="00C2431F">
      <w:pPr>
        <w:spacing w:after="0"/>
      </w:pPr>
    </w:p>
    <w:p w14:paraId="31696415" w14:textId="0DCAD8E5" w:rsidR="00C2431F" w:rsidRDefault="00000000" w:rsidP="00C76BC5">
      <w:pPr>
        <w:spacing w:line="240" w:lineRule="auto"/>
        <w:jc w:val="both"/>
      </w:pPr>
      <w:r>
        <w:t>Vrijednost ukupne imovine Grada Šibenika na dan 31. prosinca 2025. godine iznosi 234.132.294,23 eura i u odnosu na stanje imovine 1. siječnja 2025. godine evidentno je smanjenje vrijednosti imovine za 41.294.727,72 eura ili 15%, i to najvećim dijelom zbog smanjenja financijske imovine za 41.370.332,07 eura ili 39,1%. </w:t>
      </w:r>
    </w:p>
    <w:p w14:paraId="7870ABCA" w14:textId="77777777" w:rsidR="00C76BC5" w:rsidRDefault="00C76BC5" w:rsidP="00C76BC5">
      <w:pPr>
        <w:spacing w:line="240" w:lineRule="auto"/>
        <w:jc w:val="both"/>
      </w:pPr>
    </w:p>
    <w:p w14:paraId="33314814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lastRenderedPageBreak/>
        <w:t>Bilješka 34.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286F61F1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4A707E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6E7CEB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5F1FE1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FAEDB9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22AA15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87B977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6E061E57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40D119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469EE03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Nefinancijska imovina (šifre 01+02+03+04+05+06)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EDC961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B002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F780379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169.649.602,65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A29F520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169.725.207,00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6ADA0F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100,0</w:t>
            </w:r>
          </w:p>
        </w:tc>
      </w:tr>
    </w:tbl>
    <w:p w14:paraId="7BC6E949" w14:textId="77777777" w:rsidR="00C2431F" w:rsidRDefault="00C2431F">
      <w:pPr>
        <w:spacing w:after="0"/>
      </w:pPr>
    </w:p>
    <w:p w14:paraId="18F09520" w14:textId="77777777" w:rsidR="00C2431F" w:rsidRDefault="00000000" w:rsidP="00C76BC5">
      <w:pPr>
        <w:jc w:val="both"/>
      </w:pPr>
      <w:r>
        <w:t>Stanje nefinancijske imovine na dan 31. prosinca 2025. godine iznosi  169.725.207,00 eura i bilježe neznatno povećanje u odnosu na stanje 1. siječnja 2025. godine u iznosu od 75.604,35 eura. </w:t>
      </w:r>
    </w:p>
    <w:p w14:paraId="6095ACFD" w14:textId="77777777" w:rsidR="00C2431F" w:rsidRDefault="00000000" w:rsidP="00C76BC5">
      <w:pPr>
        <w:jc w:val="both"/>
      </w:pPr>
      <w:r>
        <w:t>U strukturi ukupne nefinancijske imovine vrijednosno najveći udjel zauzima proizvedena dugotrajna imovina (šifra 02). </w:t>
      </w:r>
    </w:p>
    <w:p w14:paraId="691A40DF" w14:textId="77777777" w:rsidR="00C2431F" w:rsidRDefault="00000000" w:rsidP="00C76BC5">
      <w:pPr>
        <w:jc w:val="both"/>
      </w:pPr>
      <w:r>
        <w:t xml:space="preserve">U okviru ove skupine najveće povećanje bilježi se na šifri 05 - dugotrajnoj nefinancijskoj imovini u pripremi, i to za 3.473.033,10 eura ili 86,7%,. Navedeno povećanje se najvećim dijelom odnosi na sljedeće kapitalne projekte: rekonstrukciju kuće </w:t>
      </w:r>
      <w:proofErr w:type="spellStart"/>
      <w:r>
        <w:t>Ušić</w:t>
      </w:r>
      <w:proofErr w:type="spellEnd"/>
      <w:r>
        <w:t>, uređenje pristupnog puta za tvrđavu sv. Ivana, uređenje Dvostrukog bedema, uređenje lokacije Vanjski, uređenje Centra za planinare i udruge, dodatnih radove na uređenju parka Rasadnik</w:t>
      </w:r>
    </w:p>
    <w:p w14:paraId="2F37987C" w14:textId="77777777" w:rsidR="00C2431F" w:rsidRDefault="00C2431F"/>
    <w:p w14:paraId="02E18EFD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35.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6FCCB6D6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2372D6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9D538F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3F7FC5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B98FC9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71FC66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90C816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4FEB8112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B8F23F5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D633D5A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Materijalna imovina - prirodna bogatstva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3358D3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87884C6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13.735.934,62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28A866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13.835.491,93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7541662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100,7</w:t>
            </w:r>
          </w:p>
        </w:tc>
      </w:tr>
    </w:tbl>
    <w:p w14:paraId="18C376B8" w14:textId="77777777" w:rsidR="00C2431F" w:rsidRDefault="00C2431F">
      <w:pPr>
        <w:spacing w:after="0"/>
      </w:pPr>
    </w:p>
    <w:p w14:paraId="1DAE28E4" w14:textId="77777777" w:rsidR="00C2431F" w:rsidRDefault="00000000" w:rsidP="00C76BC5">
      <w:pPr>
        <w:jc w:val="both"/>
      </w:pPr>
      <w:r>
        <w:t>Materijalna imovina bilježi povećanje u iznosu 99.557,31 eura, a odnosi se na 37 novonabavljenih građevinskih zemljišnih čestica, ukupne površine 36.913 m².</w:t>
      </w:r>
    </w:p>
    <w:p w14:paraId="3D638793" w14:textId="77777777" w:rsidR="00C2431F" w:rsidRDefault="00C2431F"/>
    <w:p w14:paraId="2E54D697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36.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08A94D80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7B91D9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3B0452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C59BE3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9E2FDA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42AAA9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3DF4D6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000CEDB2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20EDC3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012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F24584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Nematerijalna imovina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05C154D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012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7AA261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11.333.378,67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583B7D0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12.475.748,71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92F8BA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110,1</w:t>
            </w:r>
          </w:p>
        </w:tc>
      </w:tr>
    </w:tbl>
    <w:p w14:paraId="0B077459" w14:textId="77777777" w:rsidR="00C2431F" w:rsidRDefault="00C2431F">
      <w:pPr>
        <w:spacing w:after="0"/>
      </w:pPr>
    </w:p>
    <w:p w14:paraId="38073407" w14:textId="77777777" w:rsidR="00C2431F" w:rsidRDefault="00000000" w:rsidP="00C76BC5">
      <w:pPr>
        <w:jc w:val="both"/>
      </w:pPr>
      <w:r>
        <w:t xml:space="preserve">Nematerijalna imovina bilježi povećanje u iznosu 1.142.370,04 eura u odnosu na stanje 1. siječnja 2025. godine zbog aktivacije imovine, odnosno prijenosa imovine iz pripreme u uporabu, i to za kapitalne projekte Uređenje kupališta u </w:t>
      </w:r>
      <w:proofErr w:type="spellStart"/>
      <w:r>
        <w:t>Jadriji</w:t>
      </w:r>
      <w:proofErr w:type="spellEnd"/>
      <w:r>
        <w:t xml:space="preserve"> te spomen sobe Domovinskog rata.</w:t>
      </w:r>
    </w:p>
    <w:p w14:paraId="0763D2CC" w14:textId="77777777" w:rsidR="00C2431F" w:rsidRDefault="00C2431F"/>
    <w:p w14:paraId="1B9A8CBE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lastRenderedPageBreak/>
        <w:t>Bilješka 37.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7C9993A1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316041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EA74FC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3AD51D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B28EA2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BAB1C6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E6E680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7DE5D6CD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AC1857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019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D2926ED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Ispravak vrijednosti </w:t>
            </w:r>
            <w:proofErr w:type="spellStart"/>
            <w:r>
              <w:rPr>
                <w:sz w:val="18"/>
              </w:rPr>
              <w:t>neproizvedene</w:t>
            </w:r>
            <w:proofErr w:type="spellEnd"/>
            <w:r>
              <w:rPr>
                <w:sz w:val="18"/>
              </w:rPr>
              <w:t xml:space="preserve"> dugotrajne imovine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EC73B00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019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C2F2DD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3.454.340,00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8FF605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4.676.791,32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81F900B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135,4</w:t>
            </w:r>
          </w:p>
        </w:tc>
      </w:tr>
    </w:tbl>
    <w:p w14:paraId="756E6A62" w14:textId="77777777" w:rsidR="00C2431F" w:rsidRDefault="00C2431F">
      <w:pPr>
        <w:spacing w:after="0"/>
      </w:pPr>
    </w:p>
    <w:p w14:paraId="27F431CE" w14:textId="77777777" w:rsidR="00C2431F" w:rsidRDefault="00000000" w:rsidP="00C76BC5">
      <w:pPr>
        <w:jc w:val="both"/>
      </w:pPr>
      <w:r>
        <w:t xml:space="preserve">Ispravak vrijednosti </w:t>
      </w:r>
      <w:proofErr w:type="spellStart"/>
      <w:r>
        <w:t>neproizvedene</w:t>
      </w:r>
      <w:proofErr w:type="spellEnd"/>
      <w:r>
        <w:t xml:space="preserve"> dugotrajne imovine bilježi povećanje u odnosu na stanje 1. siječnja 2025. godine od 1.222.451,32 eura ili 35,4%, a što se najvećim dijelom odnosi na ispravak vrijednosti tvrđave sv. Ivan, koja je dobivena na korištenje na razdoblje od 8 godina (stopa ispravka iznosi 12,5%) temeljem Ugovora o dodjeli na korištenje nekretnina u k.o. Šibenik br. 33605/2015 od 11. travnja 2016. godine.</w:t>
      </w:r>
    </w:p>
    <w:p w14:paraId="5E277D95" w14:textId="77777777" w:rsidR="00C2431F" w:rsidRDefault="00C2431F"/>
    <w:p w14:paraId="2C099D7D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38.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25F02C44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7EB8E8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2C72A1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DA6301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B8F885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C6E755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497FDC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4F1E5918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9DEE62D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0212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7310C09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Poslovni objekti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FA79E3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0212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C6E9CB9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62.758.755,70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A7F23C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64.383.159,73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A8C301B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102,6</w:t>
            </w:r>
          </w:p>
        </w:tc>
      </w:tr>
    </w:tbl>
    <w:p w14:paraId="5A4CCD07" w14:textId="77777777" w:rsidR="00C2431F" w:rsidRDefault="00C2431F">
      <w:pPr>
        <w:spacing w:after="0"/>
      </w:pPr>
    </w:p>
    <w:p w14:paraId="4F62612E" w14:textId="77777777" w:rsidR="00C2431F" w:rsidRDefault="00000000" w:rsidP="00C76BC5">
      <w:pPr>
        <w:jc w:val="both"/>
      </w:pPr>
      <w:r>
        <w:t xml:space="preserve">Stanje poslovnih objekata bilježi povećanje od 1.624.404,03 eura ili 2,6 % u odnosu na stanje 1. siječnja 2025. godine, što je najvećim dijelom rezultat aktivacije kapitalnog projekta - proširenja DV Šibenski </w:t>
      </w:r>
      <w:proofErr w:type="spellStart"/>
      <w:r>
        <w:t>tići</w:t>
      </w:r>
      <w:proofErr w:type="spellEnd"/>
    </w:p>
    <w:p w14:paraId="0C37012C" w14:textId="77777777" w:rsidR="00C2431F" w:rsidRDefault="00C2431F"/>
    <w:p w14:paraId="3534B832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39.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31B2E358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28B2D6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058CC8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9AC807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9C9FCA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4EF345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7B7CFF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56E7B812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6C876E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0213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386E7F1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Ceste, željeznice i ostali prometni objekti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97CE8D6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0213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7FD1CE1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134.588.405,61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449B3F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135.943.154,04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A8AB8F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101,0</w:t>
            </w:r>
          </w:p>
        </w:tc>
      </w:tr>
    </w:tbl>
    <w:p w14:paraId="128D758A" w14:textId="77777777" w:rsidR="00C2431F" w:rsidRDefault="00C2431F">
      <w:pPr>
        <w:spacing w:after="0"/>
      </w:pPr>
    </w:p>
    <w:p w14:paraId="57E2F14B" w14:textId="2D85DF74" w:rsidR="00C2431F" w:rsidRDefault="00000000" w:rsidP="00C76BC5">
      <w:pPr>
        <w:jc w:val="both"/>
      </w:pPr>
      <w:r>
        <w:t xml:space="preserve">Stanje cesta, željeznice i ostalih prometnih </w:t>
      </w:r>
      <w:r w:rsidR="00C76BC5">
        <w:t>objekata</w:t>
      </w:r>
      <w:r>
        <w:t xml:space="preserve"> veće je za 1.354.748,43 eura ili 1% u odnosu na stanje 1. siječnja 2025. godine, što je najvećim dijelom rezultat aktivacije sljedećih projekata:  uređenja Ulice sv. Spasa, Ulice Nova VII i Nova VIII, </w:t>
      </w:r>
      <w:proofErr w:type="spellStart"/>
      <w:r>
        <w:t>Rendićeve</w:t>
      </w:r>
      <w:proofErr w:type="spellEnd"/>
      <w:r>
        <w:t xml:space="preserve"> ulice i Ulice  3. studenoga 1944.</w:t>
      </w:r>
    </w:p>
    <w:p w14:paraId="384FB2FF" w14:textId="77777777" w:rsidR="00C2431F" w:rsidRDefault="00C2431F"/>
    <w:p w14:paraId="6492B7ED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40.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3A5D4F9A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BA6F06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E60F86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925892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00BE7B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3C496E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7DD930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0B753A1A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8C3904D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0214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183AD2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Ostali građevinski objekti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3962FB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0214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3B27AF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24.601.220,20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1253C7D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25.990.998,65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C8E558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105,6</w:t>
            </w:r>
          </w:p>
        </w:tc>
      </w:tr>
    </w:tbl>
    <w:p w14:paraId="2B42A12F" w14:textId="77777777" w:rsidR="00C2431F" w:rsidRDefault="00C2431F">
      <w:pPr>
        <w:spacing w:after="0"/>
      </w:pPr>
    </w:p>
    <w:p w14:paraId="362E4238" w14:textId="77777777" w:rsidR="00C2431F" w:rsidRDefault="00000000" w:rsidP="00C76BC5">
      <w:pPr>
        <w:jc w:val="both"/>
      </w:pPr>
      <w:r>
        <w:lastRenderedPageBreak/>
        <w:t>Stanje ostalih građevinskih objekata veće je za 1.389.778,45 eura ili 5,6 % u odnosu na stanje 1. siječnja 2025. godine, što je najvećim dijelom rezultat aktivacije sljedećih projekata: uređenja nogostupa u Ulici Vladimira Nazora, uređenja nogostupa u Ulici Bribirskih knezova,  postavljanja slavine pitke vode na području Grada Šibenika te uređenje parkirališta u Ulici Petra Preradovića.</w:t>
      </w:r>
    </w:p>
    <w:p w14:paraId="27AF3663" w14:textId="77777777" w:rsidR="00C2431F" w:rsidRDefault="00C2431F"/>
    <w:p w14:paraId="07C637DB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41.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07D30A9F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A596F6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41387A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C47E53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D3136C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40EB14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2B3D3D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4750B755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64B209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0223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B2F49B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Oprema za održavanje i zaštitu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02B6557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0223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BDBAA79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564.252,48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527C52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662.743,88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1C2C01C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117,5</w:t>
            </w:r>
          </w:p>
        </w:tc>
      </w:tr>
    </w:tbl>
    <w:p w14:paraId="7E960474" w14:textId="77777777" w:rsidR="00C2431F" w:rsidRDefault="00C2431F">
      <w:pPr>
        <w:spacing w:after="0"/>
      </w:pPr>
    </w:p>
    <w:p w14:paraId="5C35C868" w14:textId="77777777" w:rsidR="00C2431F" w:rsidRDefault="00000000">
      <w:pPr>
        <w:jc w:val="both"/>
      </w:pPr>
      <w:r>
        <w:t xml:space="preserve">Stanje opreme za održavanje i zaštitu veće je za  98.491,40 eura ili 17,5%  u odnosu na stanje 1. siječnja 2025. godine, što je najvećim dijelom rezultat nabave, postave i ugradnje klupa na području Grada Šibenika temeljem Ugovora o izradi, dostavi i ugradnji četrdeset klupa za sjedenje na administrativnom području Grad Šibenika 28.5.2025. godine, aktivacije opreme teniskog igrališta na </w:t>
      </w:r>
      <w:proofErr w:type="spellStart"/>
      <w:r>
        <w:t>Jadriji</w:t>
      </w:r>
      <w:proofErr w:type="spellEnd"/>
      <w:r>
        <w:t xml:space="preserve"> te nabavi urbane opreme na igralištu </w:t>
      </w:r>
      <w:proofErr w:type="spellStart"/>
      <w:r>
        <w:t>Jadrija</w:t>
      </w:r>
      <w:proofErr w:type="spellEnd"/>
      <w:r>
        <w:t>.</w:t>
      </w:r>
    </w:p>
    <w:p w14:paraId="165617C6" w14:textId="77777777" w:rsidR="00C2431F" w:rsidRDefault="00C2431F"/>
    <w:p w14:paraId="7FDAC02C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42.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151D7655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60B4F8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AF58A2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8C31F1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08D870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083170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017337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0A8D8885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6514D29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0227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809DA75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Uređaji, strojevi i oprema za ostale namjene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D0E837C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0227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0D702BD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5.870.325,65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390EC92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6.076.881,59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9D063B2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103,5</w:t>
            </w:r>
          </w:p>
        </w:tc>
      </w:tr>
    </w:tbl>
    <w:p w14:paraId="72BB1C85" w14:textId="77777777" w:rsidR="00C2431F" w:rsidRDefault="00C2431F">
      <w:pPr>
        <w:spacing w:after="0"/>
      </w:pPr>
    </w:p>
    <w:p w14:paraId="0F422217" w14:textId="77777777" w:rsidR="00C2431F" w:rsidRDefault="00000000" w:rsidP="00C76BC5">
      <w:pPr>
        <w:jc w:val="both"/>
      </w:pPr>
      <w:r>
        <w:t xml:space="preserve">Stanje uređaja, strojeva i opreme za ostale namjene veće je  za 206.555,94 eura ili 3,5%  u odnosu na stanje 1. siječnja 2025. godine, što je najvećim dijelom rezultat aktivacije opreme na dječjim igralištima u Jurasima, na igralištu u Ulici Petra Preradovića i na </w:t>
      </w:r>
      <w:proofErr w:type="spellStart"/>
      <w:r>
        <w:t>Jadriji</w:t>
      </w:r>
      <w:proofErr w:type="spellEnd"/>
      <w:r>
        <w:t xml:space="preserve">, te postavljanja sustava automatskog navodnjavanja na čvoru </w:t>
      </w:r>
      <w:proofErr w:type="spellStart"/>
      <w:r>
        <w:t>Mandalina</w:t>
      </w:r>
      <w:proofErr w:type="spellEnd"/>
      <w:r>
        <w:t>.</w:t>
      </w:r>
    </w:p>
    <w:p w14:paraId="772284EC" w14:textId="77777777" w:rsidR="00C2431F" w:rsidRDefault="00C2431F"/>
    <w:p w14:paraId="02525743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43.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145EB24D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BEA4CD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692304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1537E7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B27978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8ED49B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23207B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2FF600F8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FEAFE01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0264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51F3186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Ostala nematerijalna proizvedena imovina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8BBAE41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0264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318E5E1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6.064.593,09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D37C2A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6.281.131,86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F33594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103,6</w:t>
            </w:r>
          </w:p>
        </w:tc>
      </w:tr>
    </w:tbl>
    <w:p w14:paraId="0B8FF8B2" w14:textId="77777777" w:rsidR="00C2431F" w:rsidRDefault="00C2431F">
      <w:pPr>
        <w:spacing w:after="0"/>
      </w:pPr>
    </w:p>
    <w:p w14:paraId="39DE0AED" w14:textId="10C7F2DB" w:rsidR="00C2431F" w:rsidRDefault="00000000" w:rsidP="00C76BC5">
      <w:pPr>
        <w:spacing w:line="240" w:lineRule="auto"/>
        <w:jc w:val="both"/>
      </w:pPr>
      <w:r>
        <w:t xml:space="preserve">Stanje nematerijalne proizvedene imovine veće je za 216.538,77 eura ili 3,6%  u odnosu na stanje 1. siječnja 2025. godine, što je najvećim dijelom rezultat aktivacije sljedeće imovine: VI. Izmjena i dopuna Prostornog plana uređenja Grada Šibenika, projektne dokumentacije za zonu </w:t>
      </w:r>
      <w:proofErr w:type="spellStart"/>
      <w:r>
        <w:t>Jadrija</w:t>
      </w:r>
      <w:proofErr w:type="spellEnd"/>
      <w:r>
        <w:t xml:space="preserve">, Studije analize potencijala razvoja </w:t>
      </w:r>
      <w:proofErr w:type="spellStart"/>
      <w:r>
        <w:t>Park&amp;Ride</w:t>
      </w:r>
      <w:proofErr w:type="spellEnd"/>
      <w:r>
        <w:t xml:space="preserve"> i </w:t>
      </w:r>
      <w:proofErr w:type="spellStart"/>
      <w:r>
        <w:t>Bike&amp;Ride</w:t>
      </w:r>
      <w:proofErr w:type="spellEnd"/>
      <w:r>
        <w:t xml:space="preserve"> te Strategije zelene urbane obnove Grada Šibenika.</w:t>
      </w:r>
    </w:p>
    <w:p w14:paraId="165608DB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lastRenderedPageBreak/>
        <w:t>Bilješka 44.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0542A969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D9E7C7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419E94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118036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147EE8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F97400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881591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1EBEE3AD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969D88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051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CA422B6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Građevinski objekti u pripremi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FD46307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051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1E7E53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3.274.637,09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8529CB1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6.838.694,72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452276A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208,8</w:t>
            </w:r>
          </w:p>
        </w:tc>
      </w:tr>
    </w:tbl>
    <w:p w14:paraId="1C313958" w14:textId="77777777" w:rsidR="00C2431F" w:rsidRDefault="00C2431F">
      <w:pPr>
        <w:spacing w:after="0"/>
      </w:pPr>
    </w:p>
    <w:p w14:paraId="2771A21D" w14:textId="77777777" w:rsidR="00C2431F" w:rsidRDefault="00000000">
      <w:pPr>
        <w:jc w:val="both"/>
      </w:pPr>
      <w:r>
        <w:t xml:space="preserve">Stanje građevinskih objekata u pripremi iznosi 6.838.694,72 eura i veće je za 3.564.057,63 ili 108,8%, a najvećim djelom se odnosi na radove na  rekonstrukciji kuće </w:t>
      </w:r>
      <w:proofErr w:type="spellStart"/>
      <w:r>
        <w:t>Ušić</w:t>
      </w:r>
      <w:proofErr w:type="spellEnd"/>
      <w:r>
        <w:t>, uređenje pristupnog puta za tvrđavu sv. Ivana, uređenje Dvostrukog bedema, uređenje lokacije Vanjski, uređenje Centra za planinare i udruge i dodatne radove na uređenju parka Rasadnik.</w:t>
      </w:r>
    </w:p>
    <w:p w14:paraId="4D64EE67" w14:textId="77777777" w:rsidR="00C2431F" w:rsidRDefault="00C2431F"/>
    <w:p w14:paraId="341AC447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45.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2DC5ABFE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1E8AFF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6B4285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87D857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276764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5A5782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7FE9C7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17627894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364078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052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F8211E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Postrojenja i oprema u pripremi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BF66DF1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052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7E47CE8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25.205,63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398BFA1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53.205,63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5FC33F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211,1</w:t>
            </w:r>
          </w:p>
        </w:tc>
      </w:tr>
    </w:tbl>
    <w:p w14:paraId="37B8842F" w14:textId="77777777" w:rsidR="00C2431F" w:rsidRDefault="00C2431F">
      <w:pPr>
        <w:spacing w:after="0"/>
      </w:pPr>
    </w:p>
    <w:p w14:paraId="3CB3BE50" w14:textId="77777777" w:rsidR="00C2431F" w:rsidRDefault="00000000" w:rsidP="00C76BC5">
      <w:pPr>
        <w:jc w:val="both"/>
      </w:pPr>
      <w:r>
        <w:t xml:space="preserve">Stanje postrojenja i opreme u pripremi iznosi 53.205,63 eura i veće je za 28.000,00 eura ili 111,1%  u odnosu na stanje 1. siječnja 2025. godine, što je rezultat nabave opreme za uređenje sportskog igrališta u </w:t>
      </w:r>
      <w:proofErr w:type="spellStart"/>
      <w:r>
        <w:t>Jadrtovcu</w:t>
      </w:r>
      <w:proofErr w:type="spellEnd"/>
      <w:r>
        <w:t>, ulaganja na proširenju sustava videonadzora grada Šibenika.</w:t>
      </w:r>
    </w:p>
    <w:p w14:paraId="5698E897" w14:textId="77777777" w:rsidR="00C2431F" w:rsidRDefault="00C2431F"/>
    <w:p w14:paraId="431FC76A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46.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7C7BA229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532103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CA3E3B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664D5D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56CE04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CE462E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0B2F55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6F5AEFDE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E08F3A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055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87767B1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Ostala nematerijalna proizvedena imovina u pripremi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7D1C2FA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055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531A3D9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707.086,58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C678A0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588.062,05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B282D3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83,2</w:t>
            </w:r>
          </w:p>
        </w:tc>
      </w:tr>
    </w:tbl>
    <w:p w14:paraId="0EB0F889" w14:textId="77777777" w:rsidR="00C2431F" w:rsidRDefault="00C2431F">
      <w:pPr>
        <w:spacing w:after="0"/>
      </w:pPr>
    </w:p>
    <w:p w14:paraId="363B4E00" w14:textId="77777777" w:rsidR="00C2431F" w:rsidRDefault="00000000">
      <w:pPr>
        <w:jc w:val="both"/>
      </w:pPr>
      <w:r>
        <w:t xml:space="preserve">Stanje ostale nematerijalne proizvedene imovine u pripremi bilježi smanjenje za 119.024,53 eura ili 16,8%, što je najvećim dijelom rezultat aktivacije imovine u pripremi i to: VI. Izmjene i dopune Prostornog plana uređenja Grada Šibenika, projektne dokumentacije za zonu </w:t>
      </w:r>
      <w:proofErr w:type="spellStart"/>
      <w:r>
        <w:t>Jadrija</w:t>
      </w:r>
      <w:proofErr w:type="spellEnd"/>
      <w:r>
        <w:t xml:space="preserve"> te Studije analize potencijala razvoja </w:t>
      </w:r>
      <w:proofErr w:type="spellStart"/>
      <w:r>
        <w:t>Park&amp;Ride</w:t>
      </w:r>
      <w:proofErr w:type="spellEnd"/>
      <w:r>
        <w:t xml:space="preserve"> i </w:t>
      </w:r>
      <w:proofErr w:type="spellStart"/>
      <w:r>
        <w:t>Bike&amp;Ride</w:t>
      </w:r>
      <w:proofErr w:type="spellEnd"/>
      <w:r>
        <w:t>.</w:t>
      </w:r>
    </w:p>
    <w:p w14:paraId="1C2C329D" w14:textId="77777777" w:rsidR="00C2431F" w:rsidRDefault="00C2431F"/>
    <w:p w14:paraId="669E77FD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47.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0CA7C2EC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86E25A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4A6BA4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B45FEE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74FCE9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BB52A0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01A512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79A7F000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AEDA058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92D1233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Novac u banci (šifre 1111 do 1114)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11FE8A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02C7698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8.532.546,58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4CE580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934.962,51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B139780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11,0</w:t>
            </w:r>
          </w:p>
        </w:tc>
      </w:tr>
    </w:tbl>
    <w:p w14:paraId="3AAF1C6C" w14:textId="77777777" w:rsidR="00C2431F" w:rsidRDefault="00C2431F">
      <w:pPr>
        <w:spacing w:after="0"/>
      </w:pPr>
    </w:p>
    <w:p w14:paraId="6AE22EC7" w14:textId="77777777" w:rsidR="00C2431F" w:rsidRDefault="00000000" w:rsidP="00C76BC5">
      <w:pPr>
        <w:spacing w:after="60" w:line="240" w:lineRule="auto"/>
      </w:pPr>
      <w:r>
        <w:t>Novac u banci odnosi se na:</w:t>
      </w:r>
    </w:p>
    <w:p w14:paraId="02297671" w14:textId="77777777" w:rsidR="00C2431F" w:rsidRDefault="00000000" w:rsidP="00C76BC5">
      <w:pPr>
        <w:pStyle w:val="Odlomakpopisa"/>
        <w:numPr>
          <w:ilvl w:val="0"/>
          <w:numId w:val="1"/>
        </w:numPr>
        <w:spacing w:after="60"/>
      </w:pPr>
      <w:r>
        <w:lastRenderedPageBreak/>
        <w:t>novac na računu kod HNB-a (iznos od 445,00 eura) – uplaćena sredstva s osnove poreza na nekretnine koja nisu prebačena na redovni račun Grada Šibenika) te  </w:t>
      </w:r>
    </w:p>
    <w:p w14:paraId="0BB18121" w14:textId="61BC6465" w:rsidR="00C2431F" w:rsidRDefault="00000000">
      <w:pPr>
        <w:pStyle w:val="Odlomakpopisa"/>
        <w:numPr>
          <w:ilvl w:val="0"/>
          <w:numId w:val="1"/>
        </w:numPr>
      </w:pPr>
      <w:r>
        <w:t>novac na računu kod tuzemnih poslovnih banaka (iznos od 934.517,51 eura), koji bilježi smanjenje u odnosu na stanje na dan 1. siječnja 2025. godine za 7.598.029,07, odnosno 89%.</w:t>
      </w:r>
    </w:p>
    <w:p w14:paraId="33B38BAF" w14:textId="77777777" w:rsidR="00C2431F" w:rsidRDefault="00C2431F"/>
    <w:p w14:paraId="0A0287FE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48.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7C78CC4B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E27D42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903D40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2EA9EB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DD6FC1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B91C7A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2A4846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6C3B4C4D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14247C5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129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6C817FA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Ostala potraživanja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54C894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129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43ADF6D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60.940,76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19A3DC1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131.998,96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53FD0D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216,6</w:t>
            </w:r>
          </w:p>
        </w:tc>
      </w:tr>
    </w:tbl>
    <w:p w14:paraId="39EB0668" w14:textId="77777777" w:rsidR="00C2431F" w:rsidRDefault="00C2431F">
      <w:pPr>
        <w:spacing w:after="0"/>
      </w:pPr>
    </w:p>
    <w:p w14:paraId="086194EF" w14:textId="77777777" w:rsidR="00C2431F" w:rsidRDefault="00000000" w:rsidP="00C76BC5">
      <w:pPr>
        <w:spacing w:line="240" w:lineRule="auto"/>
        <w:jc w:val="both"/>
      </w:pPr>
      <w:r>
        <w:t>Stanje ostalih potraživanja iznosi 131.998,96 eura i veće je za 71.058,20 eura u odnosu na stanje 1. siječnja 2025. godine, što je rezultata povećanja potraživanja za predujmove.</w:t>
      </w:r>
    </w:p>
    <w:p w14:paraId="229B3D70" w14:textId="77777777" w:rsidR="00C2431F" w:rsidRDefault="00C2431F"/>
    <w:p w14:paraId="3890B666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49.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634D849C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2B2303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8EF5FB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237541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FA08AD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CFBD15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39C03E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36F07275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FE5458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1321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9A8A190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Zajmovi neprofitnim organizacijama, građanima i kućanstvima u tuzemstvu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54AC52A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1321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07AAA69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204.365,60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CE842E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168.208,41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55C748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82,3</w:t>
            </w:r>
          </w:p>
        </w:tc>
      </w:tr>
    </w:tbl>
    <w:p w14:paraId="4163CA8B" w14:textId="77777777" w:rsidR="00C2431F" w:rsidRDefault="00C2431F">
      <w:pPr>
        <w:spacing w:after="0"/>
      </w:pPr>
    </w:p>
    <w:p w14:paraId="2C5E20BF" w14:textId="77777777" w:rsidR="00C2431F" w:rsidRDefault="00000000" w:rsidP="00783B3F">
      <w:pPr>
        <w:jc w:val="both"/>
      </w:pPr>
      <w:r>
        <w:t xml:space="preserve">Zajmovi neprofitnim organizacijama, građanima i kućanstvima u tuzemstvu bilježi smanjenje za 36.157,19 eura ili 17,7% u odnosu na stanje 1. siječnja 2025. godine, a saldo se odnosi na potraživanja od APN-a koji se doznačavaju Gradu sukladno Zakonu o društveno poticanoj stanogradnji za POS </w:t>
      </w:r>
      <w:proofErr w:type="spellStart"/>
      <w:r>
        <w:t>Meterize</w:t>
      </w:r>
      <w:proofErr w:type="spellEnd"/>
      <w:r>
        <w:t>.</w:t>
      </w:r>
    </w:p>
    <w:p w14:paraId="321B0898" w14:textId="77777777" w:rsidR="00C2431F" w:rsidRDefault="00C2431F"/>
    <w:p w14:paraId="52257474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50.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6D7D7908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1F159B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30A7CB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45F792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DB6F97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F8D74E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0CB2CA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3426A85D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1990AB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1541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73DBE9D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Dionice i udjeli u glavnici tuzemnih trgovačkih društava izvan javnog sektora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6C67197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1541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6008A0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40.818.584,92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DBBA55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56.996,00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2C2543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0,1</w:t>
            </w:r>
          </w:p>
        </w:tc>
      </w:tr>
    </w:tbl>
    <w:p w14:paraId="4A15C975" w14:textId="77777777" w:rsidR="00C2431F" w:rsidRDefault="00C2431F">
      <w:pPr>
        <w:spacing w:after="0"/>
      </w:pPr>
    </w:p>
    <w:p w14:paraId="40DE66E5" w14:textId="77777777" w:rsidR="00C2431F" w:rsidRDefault="00000000">
      <w:pPr>
        <w:jc w:val="both"/>
      </w:pPr>
      <w:r>
        <w:t xml:space="preserve">Dionice i udjeli u glavnici tuzemnih trgovačkih društava izvan javnog sektora bilježe smanjenje u iznosu 40.761.588,92 eura ili 99,9% u odnosu na stanje 1. siječnja 2025. godine, što je rezultat </w:t>
      </w:r>
      <w:proofErr w:type="spellStart"/>
      <w:r>
        <w:t>isknjiženja</w:t>
      </w:r>
      <w:proofErr w:type="spellEnd"/>
      <w:r>
        <w:t xml:space="preserve"> udjela u društvu TEF d.d. u likvidaciji.</w:t>
      </w:r>
    </w:p>
    <w:p w14:paraId="2F1E2D6B" w14:textId="77777777" w:rsidR="00C2431F" w:rsidRDefault="00000000">
      <w:pPr>
        <w:jc w:val="both"/>
      </w:pPr>
      <w:r>
        <w:t>Naime, Odlukom glavne skupštine od 25.06.2025. godine  pokrenut je postupak brisanja subjekta, a Trgovački sud u Zadru - stalna služba u Šibeniku brisao je ovaj subjekt (pod nazivom TEF tvornica elektroda i ferolegura, dioničko društvo u likvidaciji) dana 21.10.2025 rješenjem Tt-25/8150-2.</w:t>
      </w:r>
    </w:p>
    <w:p w14:paraId="33C12DA0" w14:textId="77777777" w:rsidR="00C2431F" w:rsidRDefault="00C2431F"/>
    <w:p w14:paraId="15001F1B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lastRenderedPageBreak/>
        <w:t>Bilješka 51.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6D001FE4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0B6095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290B00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3BE1EE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FB4C21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4869FF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BB43FC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362BF672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8D4632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161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6ED2D7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Potraživanja za poreze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3F69EC1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161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7350822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225.314,34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885FF21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700.488,36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7997BB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310,9</w:t>
            </w:r>
          </w:p>
        </w:tc>
      </w:tr>
    </w:tbl>
    <w:p w14:paraId="4F9A3A85" w14:textId="77777777" w:rsidR="00C2431F" w:rsidRDefault="00C2431F">
      <w:pPr>
        <w:spacing w:after="0"/>
      </w:pPr>
    </w:p>
    <w:p w14:paraId="6AC3E89D" w14:textId="77777777" w:rsidR="00C2431F" w:rsidRDefault="00000000">
      <w:pPr>
        <w:jc w:val="both"/>
      </w:pPr>
      <w:r>
        <w:t>Stanje potraživanja za poreze na dan 31. prosinca iznose 700.488,36 eura i bilježe povećanje za 475.174,02 eura u odnosu na stanje 1. siječnja 2025. godine, što je najvećim dijelom rezultat uvođenje poreza na nekretnine. Naime, Zakonom o izmjenama i dopunama Zakona o lokalnim porezima („Narodne novine“, broj 152/2024) ukinut je porez za kuće za odmor od 31. prosinca 2024. godine (za isti porez izdavala su se rješenja u svibnju svake godine), a od 1. siječnja 2025. godine uveden porez za nekretnine za koji su prva rješenja izdana tek krajem listopada 2025. godine.</w:t>
      </w:r>
    </w:p>
    <w:p w14:paraId="78BFC93D" w14:textId="77777777" w:rsidR="00C2431F" w:rsidRDefault="00C2431F"/>
    <w:p w14:paraId="7098332D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52.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4644852D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9F035A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F479F6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9BA70A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07FBE4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FB2C7C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8A753B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4F11DF3B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DB5F19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1632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80199A0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Potraživanja za pomoći od međunarodnih organizacija te institucija i tijela EU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06F6751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1632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CDB603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45.108,89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7083836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134.909,21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1615BF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299,1</w:t>
            </w:r>
          </w:p>
        </w:tc>
      </w:tr>
    </w:tbl>
    <w:p w14:paraId="7BADC5BA" w14:textId="77777777" w:rsidR="00C2431F" w:rsidRDefault="00C2431F">
      <w:pPr>
        <w:spacing w:after="0"/>
      </w:pPr>
    </w:p>
    <w:p w14:paraId="548774F8" w14:textId="77777777" w:rsidR="00C2431F" w:rsidRDefault="00000000" w:rsidP="00783B3F">
      <w:pPr>
        <w:spacing w:line="240" w:lineRule="auto"/>
        <w:jc w:val="both"/>
      </w:pPr>
      <w:r>
        <w:t>Potraživanja za pomoći od međunarodnih organizacija te institucija i tijela EU iznose 134.909,21 eura i veća su za 89.800,32 eura u odnosu na stanje 1. siječnja 2025.  godine. Stanje istih potraživanja odnosi se na potraživanja po zatraženim zahtjevima za nadoknadom sredstava u sklopu projekata SPINE i SUPERBE.</w:t>
      </w:r>
    </w:p>
    <w:p w14:paraId="6B9F266F" w14:textId="77777777" w:rsidR="00C2431F" w:rsidRDefault="00C2431F"/>
    <w:p w14:paraId="53925015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53.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48D31616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F1714D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38836F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BB1123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314D78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19DCA3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D64385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317AB344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5031CB6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172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3716056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Potraživanja od prodaje proizvedene dugotrajne imovine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F89A47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172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E789380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74.859,33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2BF569D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56.311,13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16A98F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75,2</w:t>
            </w:r>
          </w:p>
        </w:tc>
      </w:tr>
    </w:tbl>
    <w:p w14:paraId="4B3BFD63" w14:textId="77777777" w:rsidR="00C2431F" w:rsidRDefault="00C2431F">
      <w:pPr>
        <w:spacing w:after="0"/>
      </w:pPr>
    </w:p>
    <w:p w14:paraId="577495F5" w14:textId="77777777" w:rsidR="00C2431F" w:rsidRDefault="00000000" w:rsidP="00783B3F">
      <w:pPr>
        <w:spacing w:line="240" w:lineRule="auto"/>
        <w:jc w:val="both"/>
      </w:pPr>
      <w:r>
        <w:t>Potraživanja od prodaje proizvedene dugotrajne imovine iznose 56.311,13 eura i manja su za 18.548,20 eura u odnosu na stanje na dan 1. siječnja 2025. godine zbog više uplaćenih sredstava za otkup gradskih stanova.</w:t>
      </w:r>
    </w:p>
    <w:p w14:paraId="2EA9AD6C" w14:textId="77777777" w:rsidR="00C2431F" w:rsidRDefault="00C2431F" w:rsidP="00783B3F">
      <w:pPr>
        <w:spacing w:line="240" w:lineRule="auto"/>
      </w:pPr>
    </w:p>
    <w:p w14:paraId="3E6EE4C5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lastRenderedPageBreak/>
        <w:t>Bilješka 54.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5380E732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F4B3FE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4DFF8D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F5AC54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84ECE7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2549D3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32091A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6A727406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3324B19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B77C11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(šifre 23+24+25+26+27+29)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C3691D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486288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10.588.261,70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9CD455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10.460.020,68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2EAF2D3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98,8</w:t>
            </w:r>
          </w:p>
        </w:tc>
      </w:tr>
    </w:tbl>
    <w:p w14:paraId="43D9EF2F" w14:textId="77777777" w:rsidR="00C2431F" w:rsidRDefault="00C2431F">
      <w:pPr>
        <w:spacing w:after="0"/>
      </w:pPr>
    </w:p>
    <w:p w14:paraId="1AB9B239" w14:textId="77777777" w:rsidR="00C2431F" w:rsidRDefault="00000000">
      <w:r>
        <w:t>Stanje ukupnih obveza na kraju izvještajnog razdoblja iznosi 10.460.020,68 eura, od čega se 603.801,21 euro odnosi na dospjele obveze, a 9.856.219,47 eura na nedospjele obveze.</w:t>
      </w:r>
    </w:p>
    <w:p w14:paraId="60F6E782" w14:textId="77777777" w:rsidR="00C2431F" w:rsidRDefault="00C2431F"/>
    <w:p w14:paraId="7B1C45E8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55.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3993C7B2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6B2D3C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572AAB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B0B33B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7CD125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146238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ACD85D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1755B888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560C729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CC5656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rashode poslovanja (šifre 231 do 234 + 235 + 236 + 237 do 239)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BCF333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6EDDF2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1.801.706,77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E96271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2.361.154,08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41669458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131,1</w:t>
            </w:r>
          </w:p>
        </w:tc>
      </w:tr>
    </w:tbl>
    <w:p w14:paraId="4E94F499" w14:textId="77777777" w:rsidR="00C2431F" w:rsidRDefault="00C2431F">
      <w:pPr>
        <w:spacing w:after="0"/>
      </w:pPr>
    </w:p>
    <w:p w14:paraId="43787E74" w14:textId="77777777" w:rsidR="00C2431F" w:rsidRDefault="00000000" w:rsidP="00783B3F">
      <w:pPr>
        <w:jc w:val="both"/>
      </w:pPr>
      <w:r>
        <w:t>Obveze za rashode poslovanja (23) bilježe povećanje za 559.447,31 euro ili 31,1% u eura u odnosu na stanje 01. siječnja 2025. godine, što je najvećim dijelom rezultat povećanja, kako slijedi:</w:t>
      </w:r>
    </w:p>
    <w:p w14:paraId="0097FF10" w14:textId="77777777" w:rsidR="00C2431F" w:rsidRDefault="00000000">
      <w:pPr>
        <w:pStyle w:val="Odlomakpopisa"/>
        <w:numPr>
          <w:ilvl w:val="0"/>
          <w:numId w:val="1"/>
        </w:numPr>
        <w:jc w:val="both"/>
      </w:pPr>
      <w:r>
        <w:t>obveza za pomoći proračunskim korisnicima drugih proračuna (šifra 2364), i to za 302.823,49, što je prvenstveno rezultat izmjene računovodstvenog evidentiranja obveza za iste rashode u odnosu na izvještajno razdoblje prošle godine,</w:t>
      </w:r>
    </w:p>
    <w:p w14:paraId="6220B0E6" w14:textId="77777777" w:rsidR="00C2431F" w:rsidRDefault="00000000">
      <w:pPr>
        <w:pStyle w:val="Odlomakpopisa"/>
        <w:numPr>
          <w:ilvl w:val="0"/>
          <w:numId w:val="1"/>
        </w:numPr>
        <w:jc w:val="both"/>
      </w:pPr>
      <w:r>
        <w:t>obveza za materijalne rashode (šifra 232), i to za 231.844,50 eura, koje se najvećim dijelom odnosi na povećanje obveza za rashode za usluge, a za koje su zaprimljeni računi u prosincu 2025. godine, a čije dospijeće je u siječnju 2026. godine.</w:t>
      </w:r>
    </w:p>
    <w:p w14:paraId="1B2F4837" w14:textId="77777777" w:rsidR="00C2431F" w:rsidRDefault="00C2431F"/>
    <w:p w14:paraId="7FF2310E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56.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2CFF4FDC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950E67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FA5365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023B2A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488955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6D6160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E18EB1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20193D3F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9A76C7C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239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6F9A86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Ostale tekuće obveze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2BEBC68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239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A4EA9B6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185.378,67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6D19358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155.527,90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10E63D9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83,9</w:t>
            </w:r>
          </w:p>
        </w:tc>
      </w:tr>
    </w:tbl>
    <w:p w14:paraId="034F6352" w14:textId="77777777" w:rsidR="00C2431F" w:rsidRDefault="00C2431F">
      <w:pPr>
        <w:spacing w:after="0"/>
      </w:pPr>
    </w:p>
    <w:p w14:paraId="17A20012" w14:textId="77777777" w:rsidR="00C2431F" w:rsidRDefault="00000000" w:rsidP="00783B3F">
      <w:pPr>
        <w:jc w:val="both"/>
      </w:pPr>
      <w:r>
        <w:t>Ostale tekuće obveze (šifra 239) bilježe smanjenje u odnosu na stanje 01.siječnja 2025. godine za 16,1%, što je rezultat promjene računovodstvenog evidentiranja u  odnosu na izvještajno razdoblje prošle godine (najveći dio odnosi se na obvezu za PDV za prosinac 2025. godine u visini 149.061,76 eura).</w:t>
      </w:r>
    </w:p>
    <w:p w14:paraId="3CE96202" w14:textId="77777777" w:rsidR="00C2431F" w:rsidRDefault="00C2431F"/>
    <w:p w14:paraId="6061C70C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lastRenderedPageBreak/>
        <w:t>Bilješka 57.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4D234612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21DF12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1B8235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0302B0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2EF796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810E6F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B79725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3C956533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D4406AA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24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5C097B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nabavu nefinancijske imovine (šifre 241 do 245)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888961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AF348B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632.054,50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23AB76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733.470,72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19AD976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116,0</w:t>
            </w:r>
          </w:p>
        </w:tc>
      </w:tr>
    </w:tbl>
    <w:p w14:paraId="4A582D7E" w14:textId="77777777" w:rsidR="00C2431F" w:rsidRDefault="00C2431F">
      <w:pPr>
        <w:spacing w:after="0"/>
      </w:pPr>
    </w:p>
    <w:p w14:paraId="33D61E0E" w14:textId="77777777" w:rsidR="00C2431F" w:rsidRDefault="00000000" w:rsidP="00783B3F">
      <w:pPr>
        <w:spacing w:line="240" w:lineRule="auto"/>
        <w:jc w:val="both"/>
      </w:pPr>
      <w:r>
        <w:t>Stanje obveza za nabavu nefinancijske imovine u odnosu na stanje 01. siječnja 2025. bilježe povećanje od 16%.</w:t>
      </w:r>
    </w:p>
    <w:p w14:paraId="384BCC6A" w14:textId="77777777" w:rsidR="00C2431F" w:rsidRDefault="00000000" w:rsidP="00783B3F">
      <w:pPr>
        <w:spacing w:line="240" w:lineRule="auto"/>
        <w:jc w:val="both"/>
      </w:pPr>
      <w:r>
        <w:t>U strukturi obveza za nabavu nefinancijske imovine najveći dio odnosi se na obveze za nabavu proizvedene dugotrajne imovine (šifra 242), i to iznos od 659.619,30 eura (89,93%).</w:t>
      </w:r>
    </w:p>
    <w:p w14:paraId="4EEDC35E" w14:textId="77777777" w:rsidR="00C2431F" w:rsidRDefault="00C2431F"/>
    <w:p w14:paraId="126CC438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58.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18809502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1B04E5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3BB449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2422F0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0136D9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4604DB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D91413E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1ADE52DB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7E12B05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242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43C289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nabavu proizvedene dugotrajne imovine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2EF326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242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2D6C8C2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406.938,73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84A8B7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659.619,30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ED635E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162,1</w:t>
            </w:r>
          </w:p>
        </w:tc>
      </w:tr>
    </w:tbl>
    <w:p w14:paraId="5E1D6C08" w14:textId="77777777" w:rsidR="00C2431F" w:rsidRDefault="00C2431F">
      <w:pPr>
        <w:spacing w:after="0"/>
      </w:pPr>
    </w:p>
    <w:p w14:paraId="29C64BE5" w14:textId="77777777" w:rsidR="00C2431F" w:rsidRDefault="00000000" w:rsidP="00783B3F">
      <w:pPr>
        <w:jc w:val="both"/>
      </w:pPr>
      <w:r>
        <w:t>Obveze za nabavu proizvedene dugotrajne imovine bilježe povećanje u odnosu na stanje 01. siječnja 2025. godine za 252.680,57 eura ili 62,1% zbog provedbe infrastrukturnih projekata, za koje su zaprimljeni računi krajem prosinca 2025. godine, a čije je dospijeće u 2026. godini.</w:t>
      </w:r>
    </w:p>
    <w:p w14:paraId="375A53A1" w14:textId="77777777" w:rsidR="00C2431F" w:rsidRDefault="00C2431F"/>
    <w:p w14:paraId="1F470D40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59.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55EC37CB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3D407D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83DE12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8F28BE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BEDD96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EB974E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BC73FE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6BF7E8A1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22558B6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26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DC92285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Obveze za kredite i zajmove (šifre 26X1+26X2)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83E3171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4FB8FD2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6.149.572,64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1C947FB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5.598.756,88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1DB0FB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91,0</w:t>
            </w:r>
          </w:p>
        </w:tc>
      </w:tr>
    </w:tbl>
    <w:p w14:paraId="20A45BF4" w14:textId="77777777" w:rsidR="00C2431F" w:rsidRDefault="00C2431F">
      <w:pPr>
        <w:spacing w:after="0"/>
      </w:pPr>
    </w:p>
    <w:p w14:paraId="5C687608" w14:textId="77777777" w:rsidR="00C2431F" w:rsidRDefault="00000000" w:rsidP="00783B3F">
      <w:pPr>
        <w:jc w:val="both"/>
      </w:pPr>
      <w:r>
        <w:t>Stanje obveza za kredite i zajmove bilježi smanjenje za 550.815,76 eura ili 9%.</w:t>
      </w:r>
    </w:p>
    <w:p w14:paraId="2E84FB4E" w14:textId="28BEBD3F" w:rsidR="00C2431F" w:rsidRDefault="00000000" w:rsidP="00783B3F">
      <w:pPr>
        <w:jc w:val="both"/>
      </w:pPr>
      <w:r>
        <w:t>Navedeno je rezultat smanjenja obveze za kredite od kreditnih institucija u javnom sektoru (šifra 2622) u iznosu od 3</w:t>
      </w:r>
      <w:r w:rsidR="00783B3F">
        <w:t>64</w:t>
      </w:r>
      <w:r>
        <w:t xml:space="preserve">.986,72 eura koje se odnosi na otplatu dijela dugoročnog kredita Hrvatske poštanske banke d.d. te smanjenja obveze za zajmove od državnog proračuna (šifra 2671) u iznosu od 185.828,04 eura koje se odnosi na otplatu zajmova od Ministarstva financija u sklopu projekata </w:t>
      </w:r>
      <w:proofErr w:type="spellStart"/>
      <w:r>
        <w:t>Bikarac</w:t>
      </w:r>
      <w:proofErr w:type="spellEnd"/>
      <w:r>
        <w:t xml:space="preserve">  I. i II.</w:t>
      </w:r>
    </w:p>
    <w:p w14:paraId="3EA9B67A" w14:textId="77777777" w:rsidR="00C2431F" w:rsidRDefault="00C2431F"/>
    <w:p w14:paraId="0FCA49AE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lastRenderedPageBreak/>
        <w:t>Bilješka 60.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74E73147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E79462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D84BA2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7E74E2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FAE071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25387F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99359C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37145AA7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45A6DC5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27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C321DD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 xml:space="preserve">Obveze za predujmove, depozite, </w:t>
            </w:r>
            <w:proofErr w:type="spellStart"/>
            <w:r>
              <w:rPr>
                <w:sz w:val="18"/>
              </w:rPr>
              <w:t>jamčevne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pologe</w:t>
            </w:r>
            <w:proofErr w:type="spellEnd"/>
            <w:r>
              <w:rPr>
                <w:sz w:val="18"/>
              </w:rPr>
              <w:t xml:space="preserve"> i tuđe prihode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9B0BEC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27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C943002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2.004.927,79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C02BAC1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1.766.639,00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FC36C08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88,1</w:t>
            </w:r>
          </w:p>
        </w:tc>
      </w:tr>
    </w:tbl>
    <w:p w14:paraId="22E69A4D" w14:textId="77777777" w:rsidR="00C2431F" w:rsidRDefault="00C2431F">
      <w:pPr>
        <w:spacing w:after="0"/>
      </w:pPr>
    </w:p>
    <w:p w14:paraId="03BA4974" w14:textId="77777777" w:rsidR="00C2431F" w:rsidRDefault="00000000" w:rsidP="00783B3F">
      <w:pPr>
        <w:jc w:val="both"/>
      </w:pPr>
      <w:r>
        <w:t xml:space="preserve">Stanje obveza za predujmove, depozite, </w:t>
      </w:r>
      <w:proofErr w:type="spellStart"/>
      <w:r>
        <w:t>jamčevne</w:t>
      </w:r>
      <w:proofErr w:type="spellEnd"/>
      <w:r>
        <w:t xml:space="preserve"> </w:t>
      </w:r>
      <w:proofErr w:type="spellStart"/>
      <w:r>
        <w:t>pologe</w:t>
      </w:r>
      <w:proofErr w:type="spellEnd"/>
      <w:r>
        <w:t xml:space="preserve"> i tuđe prihode iznosi 1.766.639,00 eura i bilježi smanjile za 11,9% u odnosu na stanje na početku izvještajnog razdoblja.</w:t>
      </w:r>
    </w:p>
    <w:p w14:paraId="1CA09393" w14:textId="77777777" w:rsidR="00C2431F" w:rsidRDefault="00000000" w:rsidP="00783B3F">
      <w:pPr>
        <w:spacing w:after="0" w:line="240" w:lineRule="auto"/>
        <w:jc w:val="both"/>
      </w:pPr>
      <w:r>
        <w:t>Navedene obveze odnose se na, kako slijedi:</w:t>
      </w:r>
    </w:p>
    <w:p w14:paraId="574A3D3A" w14:textId="77777777" w:rsidR="00C2431F" w:rsidRDefault="00000000" w:rsidP="00783B3F">
      <w:pPr>
        <w:pStyle w:val="Odlomakpopisa"/>
        <w:numPr>
          <w:ilvl w:val="0"/>
          <w:numId w:val="1"/>
        </w:numPr>
        <w:jc w:val="both"/>
      </w:pPr>
      <w:r>
        <w:t>obveze za predujmove u visini 1.882,45 eura,</w:t>
      </w:r>
    </w:p>
    <w:p w14:paraId="561BB735" w14:textId="77777777" w:rsidR="00C2431F" w:rsidRDefault="00000000" w:rsidP="00783B3F">
      <w:pPr>
        <w:pStyle w:val="Odlomakpopisa"/>
        <w:numPr>
          <w:ilvl w:val="0"/>
          <w:numId w:val="1"/>
        </w:numPr>
        <w:jc w:val="both"/>
      </w:pPr>
      <w:r>
        <w:t>obveze za primljene jamčevine u visini 342.992,21 eura,</w:t>
      </w:r>
    </w:p>
    <w:p w14:paraId="00503DA1" w14:textId="77777777" w:rsidR="00C2431F" w:rsidRDefault="00000000" w:rsidP="00783B3F">
      <w:pPr>
        <w:pStyle w:val="Odlomakpopisa"/>
        <w:numPr>
          <w:ilvl w:val="0"/>
          <w:numId w:val="1"/>
        </w:numPr>
        <w:jc w:val="both"/>
      </w:pPr>
      <w:r>
        <w:t>obveze proračuna za naplaćena sredstva proračunskih korisnika u visini 1.199.035,37 eura,</w:t>
      </w:r>
    </w:p>
    <w:p w14:paraId="21590702" w14:textId="77777777" w:rsidR="00C2431F" w:rsidRDefault="00000000" w:rsidP="00783B3F">
      <w:pPr>
        <w:pStyle w:val="Odlomakpopisa"/>
        <w:numPr>
          <w:ilvl w:val="0"/>
          <w:numId w:val="1"/>
        </w:numPr>
        <w:jc w:val="both"/>
      </w:pPr>
      <w:r>
        <w:t>obveze za naplaćene tuđe prihode u visini 83.352,78 eura,</w:t>
      </w:r>
    </w:p>
    <w:p w14:paraId="6F6E9012" w14:textId="77777777" w:rsidR="00C2431F" w:rsidRDefault="00000000" w:rsidP="00783B3F">
      <w:pPr>
        <w:pStyle w:val="Odlomakpopisa"/>
        <w:numPr>
          <w:ilvl w:val="0"/>
          <w:numId w:val="1"/>
        </w:numPr>
        <w:jc w:val="both"/>
      </w:pPr>
      <w:r>
        <w:t>obveze za EU predujmove u visini 139.376,19 eura (od čega iznos od 132.336,90 eura za Projekt Pomoćnici u nastavi 6 te iznos od 7.039,29 eura za Projekt Školska shema).</w:t>
      </w:r>
    </w:p>
    <w:p w14:paraId="7F9A018A" w14:textId="77777777" w:rsidR="00C2431F" w:rsidRDefault="00C2431F"/>
    <w:p w14:paraId="523A06D7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61.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569ADE3A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7253BC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A71FFD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270420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7A0FFF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688C49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7EB3D4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007B0BA4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E4C4691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F3BE6F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Rezultat - višak/manjak (šifre 9221-9222)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8178337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922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911C2C1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4.185.919,62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9691D8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-3.467.775,52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09FE0AD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-82,8</w:t>
            </w:r>
          </w:p>
        </w:tc>
      </w:tr>
    </w:tbl>
    <w:p w14:paraId="0B7A4E4D" w14:textId="77777777" w:rsidR="00C2431F" w:rsidRDefault="00C2431F">
      <w:pPr>
        <w:spacing w:after="0"/>
      </w:pPr>
    </w:p>
    <w:p w14:paraId="6E1A8A88" w14:textId="68557899" w:rsidR="00C2431F" w:rsidRDefault="00000000" w:rsidP="00E929DB">
      <w:pPr>
        <w:spacing w:line="240" w:lineRule="auto"/>
        <w:jc w:val="both"/>
      </w:pPr>
      <w:r>
        <w:t>Na kraju izvještajne 2025. godine utvrđen je manjak prihoda i primitaka raspoloživ u sljedećem razdoblju u ukupnom iznosu od 3.467.775,52 eura koji se, nakon provedenih prebijanja viškova/manjkova po istovrsnim kategorijama te obveznih korekcija rezultata, sastoji od:</w:t>
      </w:r>
    </w:p>
    <w:p w14:paraId="0B416F58" w14:textId="1F750BE1" w:rsidR="00C2431F" w:rsidRDefault="00000000" w:rsidP="00E929DB">
      <w:pPr>
        <w:pStyle w:val="Odlomakpopisa"/>
        <w:numPr>
          <w:ilvl w:val="0"/>
          <w:numId w:val="1"/>
        </w:numPr>
      </w:pPr>
      <w:r>
        <w:t>viška prihoda poslovanja                                                               </w:t>
      </w:r>
      <w:r w:rsidR="00783B3F">
        <w:t xml:space="preserve"> </w:t>
      </w:r>
      <w:r>
        <w:t xml:space="preserve">     4.434.994,36 eura</w:t>
      </w:r>
    </w:p>
    <w:p w14:paraId="68593C70" w14:textId="5727F810" w:rsidR="00C2431F" w:rsidRDefault="00000000" w:rsidP="00E929DB">
      <w:pPr>
        <w:pStyle w:val="Odlomakpopisa"/>
        <w:numPr>
          <w:ilvl w:val="0"/>
          <w:numId w:val="1"/>
        </w:numPr>
      </w:pPr>
      <w:r>
        <w:t>manjka prihoda od nefinancijske imovine                               </w:t>
      </w:r>
      <w:r w:rsidR="00783B3F">
        <w:t xml:space="preserve"> </w:t>
      </w:r>
      <w:r>
        <w:t xml:space="preserve">  </w:t>
      </w:r>
      <w:r w:rsidR="00783B3F">
        <w:t xml:space="preserve"> </w:t>
      </w:r>
      <w:r>
        <w:t>      -7.458.787,68 eura </w:t>
      </w:r>
    </w:p>
    <w:p w14:paraId="42707ABD" w14:textId="0B7299C5" w:rsidR="00C2431F" w:rsidRDefault="00000000" w:rsidP="00E929DB">
      <w:pPr>
        <w:pStyle w:val="Odlomakpopisa"/>
        <w:numPr>
          <w:ilvl w:val="0"/>
          <w:numId w:val="1"/>
        </w:numPr>
      </w:pPr>
      <w:r>
        <w:t>manjka primitaka od financijske imovine                                             -443.982,20 eura</w:t>
      </w:r>
      <w:r>
        <w:br/>
        <w:t> </w:t>
      </w:r>
    </w:p>
    <w:p w14:paraId="70218DA2" w14:textId="77777777" w:rsidR="00C2431F" w:rsidRDefault="00C2431F"/>
    <w:p w14:paraId="52436C0C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62.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5373289B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F94ED4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F5FFD1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07C05E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0FA9C5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94CD5E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3B5E08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686B481D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3E9976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93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336317A0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Obračunati rashodi poslovanja (šifre 9341 do 9368)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B8E2598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17453B92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60B138C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302.823,49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1F9D4F4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76BA7892" w14:textId="77777777" w:rsidR="00C2431F" w:rsidRDefault="00C2431F">
      <w:pPr>
        <w:spacing w:after="0"/>
      </w:pPr>
    </w:p>
    <w:p w14:paraId="0CC98C7D" w14:textId="02BEE7BB" w:rsidR="00C2431F" w:rsidRDefault="00000000" w:rsidP="00E929DB">
      <w:pPr>
        <w:spacing w:line="240" w:lineRule="auto"/>
        <w:jc w:val="both"/>
      </w:pPr>
      <w:r>
        <w:t xml:space="preserve">Obračunati rashodi poslovanja u cijelosti se odnose na obračunate rashode za pomoći proračunskim korisnicima drugih proračuna i iznose 302.823,49 eura (od čega se najveći dio odnosi sredstva Fakulteta elektrotehnike i računarstva u Zagrebu za sufinanciranje sveučilišnog </w:t>
      </w:r>
      <w:proofErr w:type="spellStart"/>
      <w:r>
        <w:t>prediplomskog</w:t>
      </w:r>
      <w:proofErr w:type="spellEnd"/>
      <w:r>
        <w:t xml:space="preserve"> studija Energetske učinkovitosti i obnovljivih izvora za akademsku godinu 24/25. godine u visini 291.990,16 eura).</w:t>
      </w:r>
    </w:p>
    <w:p w14:paraId="2B1F3DA0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lastRenderedPageBreak/>
        <w:t>Bilješka 63.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7249AF81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88BEF0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B5DB97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5A0962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CACDEB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EE8BAB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14FED2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0D1ACE09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FDEECDE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9638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7631A92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Pomoći temeljem prijenosa EU sredstava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A34542D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9638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48E35F6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EB902A0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1.009.222,09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AA66919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585EDC9A" w14:textId="77777777" w:rsidR="00C2431F" w:rsidRDefault="00C2431F">
      <w:pPr>
        <w:spacing w:after="0"/>
      </w:pPr>
    </w:p>
    <w:p w14:paraId="4A41D5AA" w14:textId="77777777" w:rsidR="00C2431F" w:rsidRDefault="00000000" w:rsidP="00E929DB">
      <w:pPr>
        <w:jc w:val="both"/>
      </w:pPr>
      <w:r>
        <w:t>Pomoći temeljem prijenosa EU sredstava odnose na sredstva Ministarstva prostornog uređenja, graditeljstva i državne imovine za projekt Energetska obnova OŠ Petra Krešimira IV u visini 919.828,09 eura te Ministarstva znanosti, obrazovanja i mladih za projekt Pomoćnici u nastavi 6 u visini 89.394,00 eura.</w:t>
      </w:r>
    </w:p>
    <w:p w14:paraId="5AAEACCE" w14:textId="77777777" w:rsidR="00C2431F" w:rsidRDefault="00C2431F"/>
    <w:p w14:paraId="7A2830B3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64.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17C62FF3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2E1495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7C8B59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9EAB02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B759E2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1. siječnja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A40A53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Stanje 31. prosinca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D0F1C8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5A629552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92A4D01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991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56D8DD07" w14:textId="77777777" w:rsidR="00C2431F" w:rsidRDefault="00000000">
            <w:pPr>
              <w:keepNext/>
              <w:keepLines/>
              <w:spacing w:after="0" w:line="240" w:lineRule="auto"/>
            </w:pPr>
            <w:proofErr w:type="spellStart"/>
            <w:r>
              <w:rPr>
                <w:sz w:val="18"/>
              </w:rPr>
              <w:t>Izvanbilančni</w:t>
            </w:r>
            <w:proofErr w:type="spellEnd"/>
            <w:r>
              <w:rPr>
                <w:sz w:val="18"/>
              </w:rPr>
              <w:t xml:space="preserve"> zapisi - aktiva (šifra 996)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8A44230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991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308C13D0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25.705.146,03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8E0ED61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49.472.126,78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7FF5B69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192,5</w:t>
            </w:r>
          </w:p>
        </w:tc>
      </w:tr>
    </w:tbl>
    <w:p w14:paraId="13076440" w14:textId="77777777" w:rsidR="00C2431F" w:rsidRDefault="00C2431F">
      <w:pPr>
        <w:spacing w:after="0"/>
      </w:pPr>
    </w:p>
    <w:p w14:paraId="1D9DAF96" w14:textId="77777777" w:rsidR="00C2431F" w:rsidRDefault="00000000">
      <w:r>
        <w:t xml:space="preserve">Aktivni </w:t>
      </w:r>
      <w:proofErr w:type="spellStart"/>
      <w:r>
        <w:t>izvanbilačni</w:t>
      </w:r>
      <w:proofErr w:type="spellEnd"/>
      <w:r>
        <w:t xml:space="preserve"> zapisi iznose 49.472.126,78 eura i odnose se na:</w:t>
      </w:r>
    </w:p>
    <w:p w14:paraId="4565DA25" w14:textId="77777777" w:rsidR="00C2431F" w:rsidRDefault="00000000">
      <w:pPr>
        <w:pStyle w:val="Odlomakpopisa"/>
        <w:numPr>
          <w:ilvl w:val="0"/>
          <w:numId w:val="1"/>
        </w:numPr>
      </w:pPr>
      <w:r>
        <w:t>tuđu imovinu dobivenu na korištenje u iznosu od 44.232.048,56 eura,</w:t>
      </w:r>
    </w:p>
    <w:p w14:paraId="6F6E904F" w14:textId="77777777" w:rsidR="00C2431F" w:rsidRDefault="00000000">
      <w:pPr>
        <w:pStyle w:val="Odlomakpopisa"/>
        <w:numPr>
          <w:ilvl w:val="0"/>
          <w:numId w:val="1"/>
        </w:numPr>
      </w:pPr>
      <w:r>
        <w:t>instrumente osiguranja plaćanja u iznosu od 19.725.855,26 eura, </w:t>
      </w:r>
    </w:p>
    <w:p w14:paraId="7FA322DA" w14:textId="6219526B" w:rsidR="00C2431F" w:rsidRDefault="00000000">
      <w:pPr>
        <w:pStyle w:val="Odlomakpopisa"/>
        <w:numPr>
          <w:ilvl w:val="0"/>
          <w:numId w:val="1"/>
        </w:numPr>
      </w:pPr>
      <w:r>
        <w:t>potencijalne obveze s osnove sudskih sporova koji su u tijeku, i to u sveukupnom iznosu od 88.980</w:t>
      </w:r>
      <w:r w:rsidR="000B3500">
        <w:t>,</w:t>
      </w:r>
      <w:r>
        <w:t>15 eura, </w:t>
      </w:r>
    </w:p>
    <w:p w14:paraId="307D04A6" w14:textId="77777777" w:rsidR="00C2431F" w:rsidRDefault="00000000">
      <w:pPr>
        <w:pStyle w:val="Odlomakpopisa"/>
        <w:numPr>
          <w:ilvl w:val="0"/>
          <w:numId w:val="1"/>
        </w:numPr>
      </w:pPr>
      <w:r>
        <w:t>preuzete obveze po ugovorima o dodijeli bespovratnih sredstava iz EU fondova u iznosu od 854.839,92 eura,</w:t>
      </w:r>
    </w:p>
    <w:p w14:paraId="47282D18" w14:textId="77777777" w:rsidR="00C2431F" w:rsidRDefault="00000000">
      <w:pPr>
        <w:pStyle w:val="Odlomakpopisa"/>
        <w:numPr>
          <w:ilvl w:val="0"/>
          <w:numId w:val="1"/>
        </w:numPr>
      </w:pPr>
      <w:r>
        <w:t>potraživanjima po ugovorima o dodijeljenim bespovratnim sredstvima iz EU fonda u iznosu od 20.625.847,66 eura te</w:t>
      </w:r>
    </w:p>
    <w:p w14:paraId="6B56D4EC" w14:textId="77777777" w:rsidR="00C2431F" w:rsidRDefault="00000000">
      <w:pPr>
        <w:pStyle w:val="Odlomakpopisa"/>
        <w:numPr>
          <w:ilvl w:val="0"/>
          <w:numId w:val="1"/>
        </w:numPr>
      </w:pPr>
      <w:r>
        <w:t xml:space="preserve">ostale </w:t>
      </w:r>
      <w:proofErr w:type="spellStart"/>
      <w:r>
        <w:t>izvanbilančne</w:t>
      </w:r>
      <w:proofErr w:type="spellEnd"/>
      <w:r>
        <w:t xml:space="preserve"> zapise i iznosu od 3.944.554,73 eura. </w:t>
      </w:r>
    </w:p>
    <w:p w14:paraId="7D334E74" w14:textId="77777777" w:rsidR="00C2431F" w:rsidRDefault="00C2431F"/>
    <w:p w14:paraId="73DDB80F" w14:textId="77777777" w:rsidR="00E929DB" w:rsidRDefault="00E929DB"/>
    <w:p w14:paraId="3455A78F" w14:textId="77777777" w:rsidR="00C2431F" w:rsidRDefault="00000000">
      <w:pPr>
        <w:keepNext/>
        <w:spacing w:line="240" w:lineRule="auto"/>
        <w:jc w:val="center"/>
      </w:pPr>
      <w:r>
        <w:rPr>
          <w:b/>
          <w:sz w:val="28"/>
        </w:rPr>
        <w:t>Izvještaj o rashodima prema funkcijskoj klasifikaciji</w:t>
      </w:r>
    </w:p>
    <w:p w14:paraId="5509F6AF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65.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6DC9B58C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A497A5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FE6D1C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50B142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5116AC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prethodne godine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838F2E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Ostvareno u izvještajnom razdoblju tekuće godine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BCBA01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7AD2E1A6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E46AD39" w14:textId="77777777" w:rsidR="00C2431F" w:rsidRDefault="00C2431F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8705D2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Kontrolni zbroj (šifre 01+02+03+04+05+06+07+08+09+10)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9B2FF07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R1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2EEA986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28.027.458,07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8EA6ECA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37.390.723,96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4A937EA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133,4</w:t>
            </w:r>
          </w:p>
        </w:tc>
      </w:tr>
    </w:tbl>
    <w:p w14:paraId="07278EC0" w14:textId="77777777" w:rsidR="00C2431F" w:rsidRDefault="00C2431F">
      <w:pPr>
        <w:spacing w:after="0"/>
      </w:pPr>
    </w:p>
    <w:p w14:paraId="650C7539" w14:textId="1BEB1A34" w:rsidR="00C2431F" w:rsidRDefault="00000000">
      <w:r>
        <w:t>U obrascu RAS-funkcijski za razdoblje od 1.1.2025. – 31.12.2025. godine prikazani su ostvareni rashodi nastali u navedenom razdoblju po funkcijskoj klasifikaciji bez uključenih izdataka od financijske imovine i prijenosa proračunskim korisnicima iz nadležnog proračuna za financiranje rashoda poslovanja (podskupina 367).</w:t>
      </w:r>
    </w:p>
    <w:p w14:paraId="29F9FAFA" w14:textId="77777777" w:rsidR="00C2431F" w:rsidRDefault="00000000">
      <w:pPr>
        <w:keepNext/>
        <w:spacing w:line="240" w:lineRule="auto"/>
        <w:jc w:val="center"/>
      </w:pPr>
      <w:r>
        <w:rPr>
          <w:b/>
          <w:sz w:val="28"/>
        </w:rPr>
        <w:lastRenderedPageBreak/>
        <w:t>Promjene u vrijednosti i obujmu imovine i obveza</w:t>
      </w:r>
    </w:p>
    <w:p w14:paraId="761E188B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66.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52EAE9B5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BA0708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509B16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FE7857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FF8509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 povećanja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439995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 smanjenja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0BC4D37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73939F53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9149D79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9151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46E9EC4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Promjene u vrijednosti i obujmu imovine (šifre 91511+91512)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71AE213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9151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D5FAACC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85.378,75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A28414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50.982.174,56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55D33A8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&gt;&gt;100</w:t>
            </w:r>
          </w:p>
        </w:tc>
      </w:tr>
    </w:tbl>
    <w:p w14:paraId="0154378E" w14:textId="77777777" w:rsidR="00C2431F" w:rsidRDefault="00C2431F">
      <w:pPr>
        <w:spacing w:after="0"/>
      </w:pPr>
    </w:p>
    <w:p w14:paraId="16E3F491" w14:textId="77777777" w:rsidR="00C2431F" w:rsidRDefault="00000000" w:rsidP="00E929DB">
      <w:pPr>
        <w:spacing w:line="240" w:lineRule="auto"/>
        <w:jc w:val="both"/>
      </w:pPr>
      <w:r>
        <w:t>U obrascu P-VRIO iskazane su sve one promjene u vrijednosti i obujmu imovine i obveza koje nisu rezultat financijskih aktivnosti, odnosno transakcija. Iz izvještaja je evidentno ukupno povećanje vrijednosti i obujma imovine i obveza u vrijednosti od 85.378,75 eura te smanjenje za 50.982.174,56 eura.</w:t>
      </w:r>
    </w:p>
    <w:p w14:paraId="422A1812" w14:textId="77777777" w:rsidR="00C2431F" w:rsidRDefault="00C2431F" w:rsidP="00E929DB">
      <w:pPr>
        <w:spacing w:line="240" w:lineRule="auto"/>
      </w:pPr>
    </w:p>
    <w:p w14:paraId="63EA551F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67.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1D143129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FD0820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D19BC8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F6293C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3CB581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 povećanja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B0013D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 smanjenja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D053D7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670C9A73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AAEC27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91511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D664D0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Promjene u vrijednosti imovine (šifre P001+P008)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8A5050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91511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DBF3D21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C98F56E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50.541.112,27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30C39A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698E255C" w14:textId="77777777" w:rsidR="00C2431F" w:rsidRDefault="00C2431F">
      <w:pPr>
        <w:spacing w:after="0"/>
      </w:pPr>
    </w:p>
    <w:p w14:paraId="0D3C36BB" w14:textId="77777777" w:rsidR="00C2431F" w:rsidRDefault="00000000" w:rsidP="00E929DB">
      <w:pPr>
        <w:spacing w:after="0" w:line="240" w:lineRule="auto"/>
        <w:jc w:val="both"/>
      </w:pPr>
      <w:r>
        <w:t xml:space="preserve">Smanjenje vrijednosti imovine </w:t>
      </w:r>
      <w:r>
        <w:rPr>
          <w:i/>
        </w:rPr>
        <w:t>(šifra 91511)</w:t>
      </w:r>
      <w:r>
        <w:t xml:space="preserve"> u iznosu od 50.541.112,2 eura evidentirano je kod  nefinancijske imovine (iznos od 9.810646,98) eura te financijske imovine (iznos od 40.730.465,29 eura), a odnosi se na:</w:t>
      </w:r>
    </w:p>
    <w:p w14:paraId="5A0C6485" w14:textId="77777777" w:rsidR="00C2431F" w:rsidRDefault="00000000" w:rsidP="00E929DB">
      <w:pPr>
        <w:pStyle w:val="Odlomakpopisa"/>
        <w:numPr>
          <w:ilvl w:val="0"/>
          <w:numId w:val="1"/>
        </w:numPr>
        <w:jc w:val="both"/>
      </w:pPr>
      <w:r>
        <w:t xml:space="preserve">smanjenje vrijednosti </w:t>
      </w:r>
      <w:proofErr w:type="spellStart"/>
      <w:r>
        <w:t>neproizvedene</w:t>
      </w:r>
      <w:proofErr w:type="spellEnd"/>
      <w:r>
        <w:t xml:space="preserve"> dugotrajne imovine u iznosu od 1.222.451,32 eura kao rezultat provedenog ispravka vrijednosti dugotrajne imovine na kraju godine, </w:t>
      </w:r>
    </w:p>
    <w:p w14:paraId="28793230" w14:textId="77777777" w:rsidR="00C2431F" w:rsidRDefault="00000000" w:rsidP="00E929DB">
      <w:pPr>
        <w:pStyle w:val="Odlomakpopisa"/>
        <w:numPr>
          <w:ilvl w:val="0"/>
          <w:numId w:val="1"/>
        </w:numPr>
        <w:jc w:val="both"/>
      </w:pPr>
      <w:r>
        <w:t>smanjenje vrijednosti proizvedene dugotrajne imovine u iznosu od 8.588.195,66 eura, kao rezultat provedenog ispravka vrijednosti dugotrajne imovine na kraju godine te </w:t>
      </w:r>
    </w:p>
    <w:p w14:paraId="4C87162E" w14:textId="77777777" w:rsidR="00C2431F" w:rsidRDefault="00000000" w:rsidP="00E929DB">
      <w:pPr>
        <w:pStyle w:val="Odlomakpopisa"/>
        <w:numPr>
          <w:ilvl w:val="0"/>
          <w:numId w:val="1"/>
        </w:numPr>
        <w:jc w:val="both"/>
      </w:pPr>
      <w:r>
        <w:t xml:space="preserve">smanjenje vrijednosti financijskih instrumenata – dionica i udjela u glavnici zbog </w:t>
      </w:r>
      <w:proofErr w:type="spellStart"/>
      <w:r>
        <w:t>isknjiženja</w:t>
      </w:r>
      <w:proofErr w:type="spellEnd"/>
      <w:r>
        <w:t xml:space="preserve"> dionica društva TEF d.d. (iznos od 40.730.461,50 eura) koje je likvidirano dana 21.210.2025. godine te smanjenja udjela u trgovačkom društvu Vodovod i odvodnja d.o.o. (iznos od 3,79 eura) kao rezultat provedenog usklađenja temeljnog kapitala zbog uvođenja eura.</w:t>
      </w:r>
    </w:p>
    <w:p w14:paraId="756ACC22" w14:textId="77777777" w:rsidR="00C2431F" w:rsidRDefault="00C2431F" w:rsidP="00E929DB">
      <w:pPr>
        <w:jc w:val="both"/>
      </w:pPr>
    </w:p>
    <w:p w14:paraId="1D2623FF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68.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36EB875C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B3FB9F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6CEFC4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DB0C95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2290C7C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 povećanja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BD0D0E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 smanjenja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4EA2DC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7D39139F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4B49A4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91512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F8E948B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Promjene u obujmu imovine (šifre P016+P023)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BE565AC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91512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6A7A54C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85.378,75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212E8DF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441.062,29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5A7CB503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516,6</w:t>
            </w:r>
          </w:p>
        </w:tc>
      </w:tr>
    </w:tbl>
    <w:p w14:paraId="11B2AB4F" w14:textId="77777777" w:rsidR="00C2431F" w:rsidRDefault="00C2431F">
      <w:pPr>
        <w:spacing w:after="0"/>
      </w:pPr>
    </w:p>
    <w:p w14:paraId="0E62A296" w14:textId="77777777" w:rsidR="00C2431F" w:rsidRDefault="00000000" w:rsidP="00E929DB">
      <w:pPr>
        <w:spacing w:after="0" w:line="240" w:lineRule="auto"/>
        <w:jc w:val="both"/>
      </w:pPr>
      <w:r>
        <w:t xml:space="preserve">Povećanje obujma imovine </w:t>
      </w:r>
      <w:r>
        <w:rPr>
          <w:i/>
        </w:rPr>
        <w:t>(šifra 91512)</w:t>
      </w:r>
      <w:r>
        <w:t xml:space="preserve"> u visini od 85.378,75 eura odnosi se na:</w:t>
      </w:r>
    </w:p>
    <w:p w14:paraId="79040066" w14:textId="77777777" w:rsidR="00C2431F" w:rsidRDefault="00000000" w:rsidP="00E929DB">
      <w:pPr>
        <w:pStyle w:val="Odlomakpopisa"/>
        <w:numPr>
          <w:ilvl w:val="0"/>
          <w:numId w:val="1"/>
        </w:numPr>
        <w:jc w:val="both"/>
      </w:pPr>
      <w:r>
        <w:t xml:space="preserve">povećanje obujma </w:t>
      </w:r>
      <w:proofErr w:type="spellStart"/>
      <w:r>
        <w:t>neproizvedene</w:t>
      </w:r>
      <w:proofErr w:type="spellEnd"/>
      <w:r>
        <w:t xml:space="preserve"> dugotrajne imovine </w:t>
      </w:r>
      <w:r>
        <w:rPr>
          <w:i/>
        </w:rPr>
        <w:t>(P017)</w:t>
      </w:r>
      <w:r>
        <w:t xml:space="preserve"> u vrijednosti od 68.245,00 eura do kojih promjena dolazi uknjiženjem novootkrivene imovine koja nije bila evidentirana u poslovnim knjigama Grada Šibenika, i to 9 građevinskih zemljišnih čestica, ukupne površine 1.094 m²,</w:t>
      </w:r>
    </w:p>
    <w:p w14:paraId="299033D4" w14:textId="77777777" w:rsidR="00C2431F" w:rsidRDefault="00000000" w:rsidP="00E929DB">
      <w:pPr>
        <w:pStyle w:val="Odlomakpopisa"/>
        <w:numPr>
          <w:ilvl w:val="0"/>
          <w:numId w:val="1"/>
        </w:numPr>
        <w:jc w:val="both"/>
      </w:pPr>
      <w:r>
        <w:lastRenderedPageBreak/>
        <w:t>povećanje obujma proizvedene dugotrajne imovine (</w:t>
      </w:r>
      <w:r>
        <w:rPr>
          <w:i/>
        </w:rPr>
        <w:t>P018)</w:t>
      </w:r>
      <w:r>
        <w:t xml:space="preserve"> u visini od 17.133,75 eura, koja se odnosi na prijenose ulaganja izvršena od strane Tvrđave kulture Šibenik, i to za ulaganje u Hrvatski centar koralja na Zlarinu (iznos od 7.258,75 eura) te Kuću umjetnosti Arsen (iznos od 9.875,00 eura).</w:t>
      </w:r>
    </w:p>
    <w:p w14:paraId="5FD65A26" w14:textId="77777777" w:rsidR="00E929DB" w:rsidRDefault="00E929DB"/>
    <w:p w14:paraId="1C211FB7" w14:textId="2558EF05" w:rsidR="00C2431F" w:rsidRDefault="00000000" w:rsidP="00E929DB">
      <w:pPr>
        <w:spacing w:after="0"/>
      </w:pPr>
      <w:r>
        <w:t>Smanjenje obujma imovine (91512) u visini od 441.062,29 eura odnosi se na:</w:t>
      </w:r>
    </w:p>
    <w:p w14:paraId="3DCA5ED6" w14:textId="77777777" w:rsidR="00C2431F" w:rsidRDefault="00000000" w:rsidP="00E929DB">
      <w:pPr>
        <w:pStyle w:val="Odlomakpopisa"/>
        <w:numPr>
          <w:ilvl w:val="0"/>
          <w:numId w:val="7"/>
        </w:numPr>
        <w:jc w:val="both"/>
      </w:pPr>
      <w:r>
        <w:t xml:space="preserve">smanjenje obujma proizvedene dugotrajne imovine </w:t>
      </w:r>
      <w:r>
        <w:rPr>
          <w:i/>
        </w:rPr>
        <w:t>(P018)</w:t>
      </w:r>
      <w:r>
        <w:t xml:space="preserve"> u iznosu od 287.207,07 eura zbog prijenosa kapitalnih ulaganja na proračunske korisnike i to osnovne škole (iznos od 197.500,98 eura) i dječji  vrtić Smilje (iznos od 89.706,09 eura),</w:t>
      </w:r>
    </w:p>
    <w:p w14:paraId="17A509CB" w14:textId="77777777" w:rsidR="00C2431F" w:rsidRDefault="00000000" w:rsidP="00E929DB">
      <w:pPr>
        <w:pStyle w:val="Odlomakpopisa"/>
        <w:numPr>
          <w:ilvl w:val="0"/>
          <w:numId w:val="7"/>
        </w:numPr>
        <w:jc w:val="both"/>
      </w:pPr>
      <w:r>
        <w:t>smanjenje obujma financijske imovine zbog otpisa potraživanja za prihode poslovanja (P029) u ukupnom iznosu od 153.855,22 eura, a odnosi se na:</w:t>
      </w:r>
    </w:p>
    <w:p w14:paraId="31756040" w14:textId="68BE501C" w:rsidR="00C2431F" w:rsidRDefault="00000000" w:rsidP="00E929DB">
      <w:pPr>
        <w:pStyle w:val="Odlomakpopisa"/>
        <w:numPr>
          <w:ilvl w:val="0"/>
          <w:numId w:val="10"/>
        </w:numPr>
        <w:jc w:val="both"/>
      </w:pPr>
      <w:r>
        <w:t>umanjenje potraživanja po osnovi komunalnog doprinosa (iznos od 129.737,33 eura) i komunalne naknade (iznos od 1.732,27 eura) zbog oslobođenja (olakšica) te </w:t>
      </w:r>
    </w:p>
    <w:p w14:paraId="7EFA573B" w14:textId="34881B18" w:rsidR="00C2431F" w:rsidRDefault="00000000" w:rsidP="00E929DB">
      <w:pPr>
        <w:pStyle w:val="Odlomakpopisa"/>
        <w:numPr>
          <w:ilvl w:val="0"/>
          <w:numId w:val="10"/>
        </w:numPr>
        <w:jc w:val="both"/>
      </w:pPr>
      <w:r>
        <w:t>umanjenje potraživanja zbog otpisa potraživanja za poslovne subjekte koji su brisani iz sudskog i drugih odgovarajućih registara, i to po osnovi komunalne naknade (iznos od 4.199,19 eura), zakupa javnih površina (iznos od 3.385,80 eura te zakupa poslovnih prostora (iznos od 14.880,63 eura).</w:t>
      </w:r>
    </w:p>
    <w:p w14:paraId="64F1666C" w14:textId="77777777" w:rsidR="00C2431F" w:rsidRDefault="00C2431F"/>
    <w:p w14:paraId="1BF31DF8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69.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0"/>
        <w:gridCol w:w="3180"/>
        <w:gridCol w:w="700"/>
        <w:gridCol w:w="1860"/>
        <w:gridCol w:w="1860"/>
        <w:gridCol w:w="700"/>
      </w:tblGrid>
      <w:tr w:rsidR="00C2431F" w14:paraId="372213E4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8D179A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735BFB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40959A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5C03028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 povećanja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90450F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 smanjenja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5A3C75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063FEDBD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161E4C6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9152</w:t>
            </w: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13925CB2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Promjene u vrijednosti i obujmu obveza (šifre 91521+91522)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0FAC731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9152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5FB89B49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82A1C5B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13.500,11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28EAAEC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5D902282" w14:textId="77777777" w:rsidR="00C2431F" w:rsidRDefault="00C2431F">
      <w:pPr>
        <w:spacing w:after="0"/>
      </w:pPr>
    </w:p>
    <w:p w14:paraId="7D88AD90" w14:textId="77777777" w:rsidR="00C2431F" w:rsidRDefault="00000000" w:rsidP="00E929DB">
      <w:pPr>
        <w:jc w:val="both"/>
      </w:pPr>
      <w:r>
        <w:t>Smanjenje u obujmu obveza (</w:t>
      </w:r>
      <w:r>
        <w:rPr>
          <w:i/>
        </w:rPr>
        <w:t>šifra 91522)</w:t>
      </w:r>
      <w:r>
        <w:t xml:space="preserve">  bilježi se kod obveza za rashode poslovanja u iznosu od 13.500,11 eura zbog otpisa zastarjelih obveza za naplaćene tuđe prihode po osnovi otkupa stanova na kojima postoji stanarsko pravo.</w:t>
      </w:r>
    </w:p>
    <w:p w14:paraId="7F77736E" w14:textId="77777777" w:rsidR="00C2431F" w:rsidRDefault="00C2431F"/>
    <w:p w14:paraId="13A473E0" w14:textId="77777777" w:rsidR="00E929DB" w:rsidRDefault="00E929DB"/>
    <w:p w14:paraId="2494488F" w14:textId="77777777" w:rsidR="00C2431F" w:rsidRDefault="00000000">
      <w:pPr>
        <w:keepNext/>
        <w:spacing w:line="240" w:lineRule="auto"/>
        <w:jc w:val="center"/>
      </w:pPr>
      <w:r>
        <w:rPr>
          <w:b/>
          <w:sz w:val="28"/>
        </w:rPr>
        <w:t>Izvještaj o obvezama</w:t>
      </w:r>
    </w:p>
    <w:p w14:paraId="67B06AB1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70.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C2431F" w14:paraId="049D58AD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75F9F2D9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0E653E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F2DECD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FE3836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66346F4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182450C8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35F9794" w14:textId="77777777" w:rsidR="00C2431F" w:rsidRDefault="00C2431F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2546BB1F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Stanje obveza 1. siječnja (=stanju obveza iz Izvještaja o obvezama na 31. prosinca prethodne godine)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5854A23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V001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579EB33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10.588.261,70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3140A5C5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443BD6CE" w14:textId="77777777" w:rsidR="00C2431F" w:rsidRDefault="00C2431F">
      <w:pPr>
        <w:spacing w:after="0"/>
      </w:pPr>
    </w:p>
    <w:p w14:paraId="63E99EA5" w14:textId="4B6A10CA" w:rsidR="00C2431F" w:rsidRDefault="00000000" w:rsidP="00E929DB">
      <w:pPr>
        <w:jc w:val="both"/>
      </w:pPr>
      <w:r>
        <w:t>Stanje obveza na dan 1. siječnja 2025. godine iznosi 10.588.261,70 eura, od čega se 1.097.415,83 eura odnosi na međusobne obveze subjekata općeg proračuna, i to 2.465,06 eura na obveze za uplatu dijela prihoda od prodaje stanova u državni proračun te 1.094.950,77 eura na obveze proračuna za nepotrošene vlastite i namjenske prihode proračunskih korisnika uplaćene u proračun.</w:t>
      </w:r>
    </w:p>
    <w:p w14:paraId="14780074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lastRenderedPageBreak/>
        <w:t>Bilješka 71.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C2431F" w14:paraId="159BBA87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AB613D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623232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D093E8D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6B192D2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255A55D6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0528ED51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24F80F9" w14:textId="77777777" w:rsidR="00C2431F" w:rsidRDefault="00C2431F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F137F37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Stanje obveza na kraju izvještajnog razdoblja (šifre V001+V002-V004) i (šifre V007+V009)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A0421A4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V006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0B8B876B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10.460.020,68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02D6CAA6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0E24F9F3" w14:textId="77777777" w:rsidR="00C2431F" w:rsidRDefault="00C2431F">
      <w:pPr>
        <w:spacing w:after="0"/>
      </w:pPr>
    </w:p>
    <w:p w14:paraId="3B958841" w14:textId="77777777" w:rsidR="00C2431F" w:rsidRDefault="00000000" w:rsidP="00E929DB">
      <w:pPr>
        <w:jc w:val="both"/>
      </w:pPr>
      <w:r>
        <w:t>Stanje obveza na kraju izvještajnog razdoblja iznose 10.460.020,68 eura, od čega stanje dospjelih obveza (V007) na kraju izvještajnog razdoblja iznosi 603.801,21 eura (5,77% od ukupnih obveza), dok stanje nedospjelih obveza (V009) iznosi 9.856.219,47 eura (94,23% ukupnih obveza).</w:t>
      </w:r>
    </w:p>
    <w:p w14:paraId="7298FDEA" w14:textId="77777777" w:rsidR="00C2431F" w:rsidRDefault="00C2431F"/>
    <w:p w14:paraId="7251E980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72.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C2431F" w14:paraId="46BBDAD2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B77B82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ADFA1BB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04C5150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0AD81D6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FEC4911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7DF32030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FC68A16" w14:textId="77777777" w:rsidR="00C2431F" w:rsidRDefault="00C2431F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6EAC3D6A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Stanje dospjelih obveza na kraju izvještajnog razdoblja (šifre V008+D23+D24 + 'D dio 25,26' + D27)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60BCFA06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V007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4CD0B562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603.801,21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DCB5E71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7326DD7A" w14:textId="77777777" w:rsidR="00C2431F" w:rsidRDefault="00C2431F">
      <w:pPr>
        <w:spacing w:after="0"/>
      </w:pPr>
    </w:p>
    <w:p w14:paraId="350B7DE4" w14:textId="77777777" w:rsidR="00C2431F" w:rsidRDefault="00000000" w:rsidP="00E929DB">
      <w:pPr>
        <w:spacing w:after="0" w:line="240" w:lineRule="auto"/>
        <w:jc w:val="both"/>
      </w:pPr>
      <w:r>
        <w:t>Stanje dospjelih obveza na kraju izvještajnog razdoblja iznosi 603.801,21 eura, od čega se 53.670,87 eura odnosi na dospjele međusobne obveze subjekata općeg proračuna, i to:</w:t>
      </w:r>
    </w:p>
    <w:p w14:paraId="14E97550" w14:textId="77777777" w:rsidR="00C2431F" w:rsidRDefault="00000000" w:rsidP="00E929DB">
      <w:pPr>
        <w:pStyle w:val="Odlomakpopisa"/>
        <w:numPr>
          <w:ilvl w:val="0"/>
          <w:numId w:val="1"/>
        </w:numPr>
        <w:jc w:val="both"/>
      </w:pPr>
      <w:r>
        <w:t>obveze za uplatu dijela prihoda od prodaje stanova u državni proračun u iznosu od 2.610,73 eura,  </w:t>
      </w:r>
    </w:p>
    <w:p w14:paraId="5B463D9A" w14:textId="77777777" w:rsidR="00C2431F" w:rsidRDefault="00000000" w:rsidP="00E929DB">
      <w:pPr>
        <w:pStyle w:val="Odlomakpopisa"/>
        <w:numPr>
          <w:ilvl w:val="0"/>
          <w:numId w:val="1"/>
        </w:numPr>
        <w:jc w:val="both"/>
      </w:pPr>
      <w:r>
        <w:t>obveze za uplatu prihoda od naknade za uređenje voda Hrvatskim vodama u iznosu od 47.963,39 eura,  </w:t>
      </w:r>
    </w:p>
    <w:p w14:paraId="30B617FC" w14:textId="77777777" w:rsidR="00C2431F" w:rsidRDefault="00000000" w:rsidP="00E929DB">
      <w:pPr>
        <w:pStyle w:val="Odlomakpopisa"/>
        <w:numPr>
          <w:ilvl w:val="0"/>
          <w:numId w:val="1"/>
        </w:numPr>
        <w:jc w:val="both"/>
      </w:pPr>
      <w:r>
        <w:t>obveze prema Zavodu za javno zdravstvo Šibensko-kninske županije u iznosu od 1.023,75 eura za izvršenu uslugu uzorkovanja mora i iznosu od 1.053,00 eura za izvršenu uslugu stručnog nadzora nad provođenjem godišnjeg programa mjera dezinsekcije, dezinfekcije i deratizacije te</w:t>
      </w:r>
    </w:p>
    <w:p w14:paraId="54C2EC9F" w14:textId="77777777" w:rsidR="00C2431F" w:rsidRDefault="00000000" w:rsidP="00E929DB">
      <w:pPr>
        <w:pStyle w:val="Odlomakpopisa"/>
        <w:numPr>
          <w:ilvl w:val="0"/>
          <w:numId w:val="1"/>
        </w:numPr>
        <w:jc w:val="both"/>
      </w:pPr>
      <w:r>
        <w:t>obveze prema Zavodu za hitnu medicinu u iznosu od 1.020,00 eura za pruženu uslugu dežurstva na doček Nove godine.</w:t>
      </w:r>
    </w:p>
    <w:p w14:paraId="542292DF" w14:textId="77777777" w:rsidR="00E929DB" w:rsidRDefault="00E929DB" w:rsidP="00E929DB">
      <w:pPr>
        <w:spacing w:line="240" w:lineRule="auto"/>
        <w:jc w:val="both"/>
      </w:pPr>
    </w:p>
    <w:p w14:paraId="54FC73F1" w14:textId="3F12ED33" w:rsidR="00C2431F" w:rsidRDefault="00000000" w:rsidP="00E929DB">
      <w:pPr>
        <w:spacing w:after="0"/>
        <w:jc w:val="both"/>
      </w:pPr>
      <w:r>
        <w:t>Dospjele obveze po danima prekoračenja u dospijeću iznose, kako slijedi:   </w:t>
      </w:r>
    </w:p>
    <w:p w14:paraId="73F8B8C4" w14:textId="77777777" w:rsidR="00C2431F" w:rsidRDefault="00000000" w:rsidP="00E929DB">
      <w:pPr>
        <w:pStyle w:val="Odlomakpopisa"/>
        <w:numPr>
          <w:ilvl w:val="0"/>
          <w:numId w:val="8"/>
        </w:numPr>
        <w:jc w:val="both"/>
      </w:pPr>
      <w:r>
        <w:t>prekoračenja od 1-60 dana iznose 571.232,92 (94,61%),  </w:t>
      </w:r>
    </w:p>
    <w:p w14:paraId="27D53DB4" w14:textId="77777777" w:rsidR="00C2431F" w:rsidRDefault="00000000" w:rsidP="00E929DB">
      <w:pPr>
        <w:pStyle w:val="Odlomakpopisa"/>
        <w:numPr>
          <w:ilvl w:val="0"/>
          <w:numId w:val="8"/>
        </w:numPr>
        <w:jc w:val="both"/>
      </w:pPr>
      <w:r>
        <w:t>prekoračenja od 61 - 180 dana iznose 208,69 eura (0,03%),  </w:t>
      </w:r>
    </w:p>
    <w:p w14:paraId="3AACD7AA" w14:textId="77777777" w:rsidR="00C2431F" w:rsidRDefault="00000000" w:rsidP="00E929DB">
      <w:pPr>
        <w:pStyle w:val="Odlomakpopisa"/>
        <w:numPr>
          <w:ilvl w:val="0"/>
          <w:numId w:val="8"/>
        </w:numPr>
        <w:jc w:val="both"/>
      </w:pPr>
      <w:r>
        <w:t>prekoračenja od 181-360 dana iznose 472,46 eura (0,08%) te  </w:t>
      </w:r>
    </w:p>
    <w:p w14:paraId="13DA7438" w14:textId="77777777" w:rsidR="00C2431F" w:rsidRDefault="00000000" w:rsidP="00E929DB">
      <w:pPr>
        <w:pStyle w:val="Odlomakpopisa"/>
        <w:numPr>
          <w:ilvl w:val="0"/>
          <w:numId w:val="8"/>
        </w:numPr>
        <w:jc w:val="both"/>
      </w:pPr>
      <w:r>
        <w:t>prekoračenja u dospijeću preko 360 dana iznose 31.887,14 eura (5,28%).  </w:t>
      </w:r>
    </w:p>
    <w:p w14:paraId="5B5EFA3D" w14:textId="77777777" w:rsidR="00E929DB" w:rsidRDefault="00E929DB" w:rsidP="00E929DB">
      <w:pPr>
        <w:jc w:val="both"/>
      </w:pPr>
    </w:p>
    <w:p w14:paraId="3EA94B8E" w14:textId="4D694A94" w:rsidR="00C2431F" w:rsidRDefault="00000000" w:rsidP="00E929DB">
      <w:pPr>
        <w:spacing w:line="240" w:lineRule="auto"/>
        <w:jc w:val="both"/>
      </w:pPr>
      <w:r>
        <w:t>U strukturi dospjelih obveza prevladavaju obveze s prekoračenjem od 1-60 dana (94,61%) koje se odnose na nepodmirene obveze za materijalne rashode (391.136,91 eura), obveze za donacije, kazne, naknade štete i kapitalne pomoći (750,00 eura), obveze za nabavu nefinancijske imovine (125.154,15 eura) te međusobne obveze (53.670,87 eura), a za koje su računi zaprimljeni tijekom/krajem prosinca i bit će plaćeni u sljedećem obračunskom razdoblju.  </w:t>
      </w:r>
    </w:p>
    <w:p w14:paraId="7FC45DCD" w14:textId="77777777" w:rsidR="00C2431F" w:rsidRDefault="00000000" w:rsidP="00E929DB">
      <w:pPr>
        <w:spacing w:line="240" w:lineRule="auto"/>
        <w:jc w:val="both"/>
      </w:pPr>
      <w:r>
        <w:t>Obveze s prekoračenjem u dospijeću od 61-180 dana čine u strukturi dospjelih obveza 0,03%, a odnose se na naplaćene tuđe prihode od prodaje stanova.</w:t>
      </w:r>
    </w:p>
    <w:p w14:paraId="2B4F6BCC" w14:textId="77777777" w:rsidR="00C2431F" w:rsidRDefault="00000000" w:rsidP="00E929DB">
      <w:pPr>
        <w:spacing w:line="240" w:lineRule="auto"/>
        <w:jc w:val="both"/>
      </w:pPr>
      <w:r>
        <w:lastRenderedPageBreak/>
        <w:t>Obveze s prekoračenjem u dospijeću od 181-360 dana čine u strukturi dospjelih obveza 0,08%, a odnose se na naplaćene tuđe prihode od prodaje stanova.  </w:t>
      </w:r>
    </w:p>
    <w:p w14:paraId="20E7415C" w14:textId="77777777" w:rsidR="00C2431F" w:rsidRDefault="00000000" w:rsidP="00E929DB">
      <w:pPr>
        <w:spacing w:line="240" w:lineRule="auto"/>
        <w:jc w:val="both"/>
      </w:pPr>
      <w:r>
        <w:t>Obveze s prekoračenjem preko 360 dana odnose se na naplaćene tuđe prihode od prodaje stanova.</w:t>
      </w:r>
    </w:p>
    <w:p w14:paraId="62C32E80" w14:textId="77777777" w:rsidR="00C2431F" w:rsidRDefault="00C2431F"/>
    <w:p w14:paraId="74DBDAA9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73.</w:t>
      </w:r>
    </w:p>
    <w:tbl>
      <w:tblPr>
        <w:tblW w:w="9000" w:type="dxa"/>
        <w:tblInd w:w="40" w:type="dxa"/>
        <w:tblBorders>
          <w:top w:val="single" w:sz="12" w:space="0" w:color="BABABA"/>
          <w:left w:val="single" w:sz="12" w:space="0" w:color="BABABA"/>
          <w:bottom w:val="single" w:sz="12" w:space="0" w:color="BABABA"/>
          <w:right w:val="single" w:sz="12" w:space="0" w:color="BABABA"/>
          <w:insideH w:val="single" w:sz="8" w:space="0" w:color="BABABA"/>
          <w:insideV w:val="single" w:sz="8" w:space="0" w:color="DADADA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83"/>
        <w:gridCol w:w="4008"/>
        <w:gridCol w:w="882"/>
        <w:gridCol w:w="2345"/>
        <w:gridCol w:w="882"/>
      </w:tblGrid>
      <w:tr w:rsidR="00C2431F" w14:paraId="13C60921" w14:textId="77777777">
        <w:trPr>
          <w:cantSplit/>
        </w:trPr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31607065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 xml:space="preserve">Račun iz </w:t>
            </w:r>
            <w:proofErr w:type="spellStart"/>
            <w:r>
              <w:rPr>
                <w:b/>
                <w:sz w:val="18"/>
              </w:rPr>
              <w:t>rač</w:t>
            </w:r>
            <w:proofErr w:type="spellEnd"/>
            <w:r>
              <w:rPr>
                <w:b/>
                <w:sz w:val="18"/>
              </w:rPr>
              <w:t>. plana</w:t>
            </w:r>
          </w:p>
        </w:tc>
        <w:tc>
          <w:tcPr>
            <w:tcW w:w="318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BC494DA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Opis stavke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1F8F57F3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Šifra</w:t>
            </w:r>
          </w:p>
        </w:tc>
        <w:tc>
          <w:tcPr>
            <w:tcW w:w="186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592DB634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Iznos</w:t>
            </w:r>
          </w:p>
        </w:tc>
        <w:tc>
          <w:tcPr>
            <w:tcW w:w="700" w:type="dxa"/>
            <w:shd w:val="clear" w:color="auto" w:fill="E7F0F9"/>
            <w:tcMar>
              <w:top w:w="0" w:type="dxa"/>
              <w:bottom w:w="0" w:type="dxa"/>
            </w:tcMar>
            <w:vAlign w:val="center"/>
          </w:tcPr>
          <w:p w14:paraId="49B3DA2F" w14:textId="77777777" w:rsidR="00C2431F" w:rsidRDefault="00000000">
            <w:pPr>
              <w:keepNext/>
              <w:keepLines/>
              <w:spacing w:after="0" w:line="240" w:lineRule="auto"/>
              <w:jc w:val="center"/>
            </w:pPr>
            <w:r>
              <w:rPr>
                <w:b/>
                <w:sz w:val="18"/>
              </w:rPr>
              <w:t>Indeks (%)</w:t>
            </w:r>
          </w:p>
        </w:tc>
      </w:tr>
      <w:tr w:rsidR="00C2431F" w14:paraId="78E3C10C" w14:textId="77777777">
        <w:trPr>
          <w:cantSplit/>
          <w:trHeight w:val="560"/>
        </w:trPr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2F58F87A" w14:textId="77777777" w:rsidR="00C2431F" w:rsidRDefault="00C2431F">
            <w:pPr>
              <w:keepNext/>
              <w:keepLines/>
              <w:spacing w:after="0" w:line="240" w:lineRule="auto"/>
            </w:pPr>
          </w:p>
        </w:tc>
        <w:tc>
          <w:tcPr>
            <w:tcW w:w="3180" w:type="dxa"/>
            <w:tcMar>
              <w:top w:w="0" w:type="dxa"/>
              <w:bottom w:w="0" w:type="dxa"/>
            </w:tcMar>
            <w:vAlign w:val="center"/>
          </w:tcPr>
          <w:p w14:paraId="034130B9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Stanje nedospjelih obveza na kraju izvještajnog razdoblja (šifre V010 + ND23 + ND24 + 'ND dio 25,26' + ND27)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76F6D8DC" w14:textId="77777777" w:rsidR="00C2431F" w:rsidRDefault="00000000">
            <w:pPr>
              <w:keepNext/>
              <w:keepLines/>
              <w:spacing w:after="0" w:line="240" w:lineRule="auto"/>
            </w:pPr>
            <w:r>
              <w:rPr>
                <w:sz w:val="18"/>
              </w:rPr>
              <w:t>V009</w:t>
            </w:r>
          </w:p>
        </w:tc>
        <w:tc>
          <w:tcPr>
            <w:tcW w:w="1860" w:type="dxa"/>
            <w:tcMar>
              <w:top w:w="0" w:type="dxa"/>
              <w:bottom w:w="0" w:type="dxa"/>
            </w:tcMar>
            <w:vAlign w:val="center"/>
          </w:tcPr>
          <w:p w14:paraId="76EA5DD7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9.856.219,47</w:t>
            </w:r>
          </w:p>
        </w:tc>
        <w:tc>
          <w:tcPr>
            <w:tcW w:w="700" w:type="dxa"/>
            <w:tcMar>
              <w:top w:w="0" w:type="dxa"/>
              <w:bottom w:w="0" w:type="dxa"/>
            </w:tcMar>
            <w:vAlign w:val="center"/>
          </w:tcPr>
          <w:p w14:paraId="181F03DC" w14:textId="77777777" w:rsidR="00C2431F" w:rsidRDefault="00000000">
            <w:pPr>
              <w:keepNext/>
              <w:keepLines/>
              <w:spacing w:after="0" w:line="240" w:lineRule="auto"/>
              <w:jc w:val="right"/>
            </w:pPr>
            <w:r>
              <w:rPr>
                <w:sz w:val="18"/>
              </w:rPr>
              <w:t>-</w:t>
            </w:r>
          </w:p>
        </w:tc>
      </w:tr>
    </w:tbl>
    <w:p w14:paraId="5471D70E" w14:textId="77777777" w:rsidR="00C2431F" w:rsidRDefault="00C2431F">
      <w:pPr>
        <w:spacing w:after="0"/>
      </w:pPr>
    </w:p>
    <w:p w14:paraId="2E540AEE" w14:textId="77777777" w:rsidR="00C2431F" w:rsidRDefault="00000000" w:rsidP="00E929DB">
      <w:pPr>
        <w:spacing w:after="0"/>
        <w:jc w:val="both"/>
      </w:pPr>
      <w:r>
        <w:t>Stanje nedospjelih obveza na kraju izvještajnog razdoblja iznosi 9.856.219,47 eura, od čega se 1.771.072,90 eura odnosi na međusobne obveze proračunskih korisnika, i to:</w:t>
      </w:r>
    </w:p>
    <w:p w14:paraId="693413F1" w14:textId="77777777" w:rsidR="00C2431F" w:rsidRDefault="00000000" w:rsidP="00E929DB">
      <w:pPr>
        <w:pStyle w:val="Odlomakpopisa"/>
        <w:numPr>
          <w:ilvl w:val="0"/>
          <w:numId w:val="1"/>
        </w:numPr>
        <w:jc w:val="both"/>
      </w:pPr>
      <w:r>
        <w:t>obveze za naplaćene tuđe prihode (porez na nekretnine) u iznosu od 89,00 eura, </w:t>
      </w:r>
    </w:p>
    <w:p w14:paraId="0DEDE955" w14:textId="77777777" w:rsidR="00C2431F" w:rsidRDefault="00000000" w:rsidP="00E929DB">
      <w:pPr>
        <w:pStyle w:val="Odlomakpopisa"/>
        <w:numPr>
          <w:ilvl w:val="0"/>
          <w:numId w:val="1"/>
        </w:numPr>
        <w:jc w:val="both"/>
      </w:pPr>
      <w:r>
        <w:t>obveze proračuna za naplaćena sredstva proračunskih korisnika u iznosu od 1.199.035,37 eura, </w:t>
      </w:r>
    </w:p>
    <w:p w14:paraId="7B1D211D" w14:textId="77777777" w:rsidR="00C2431F" w:rsidRDefault="00000000" w:rsidP="00E929DB">
      <w:pPr>
        <w:pStyle w:val="Odlomakpopisa"/>
        <w:numPr>
          <w:ilvl w:val="0"/>
          <w:numId w:val="1"/>
        </w:numPr>
        <w:jc w:val="both"/>
      </w:pPr>
      <w:r>
        <w:t>obveze za EU predujmove u iznosu od 139.376,19 eura,</w:t>
      </w:r>
    </w:p>
    <w:p w14:paraId="278C616E" w14:textId="77777777" w:rsidR="00C2431F" w:rsidRDefault="00000000" w:rsidP="00E929DB">
      <w:pPr>
        <w:pStyle w:val="Odlomakpopisa"/>
        <w:numPr>
          <w:ilvl w:val="0"/>
          <w:numId w:val="1"/>
        </w:numPr>
        <w:jc w:val="both"/>
      </w:pPr>
      <w:r>
        <w:t>obveze prema Fondu za zaštitu okoliša i energetsku učinkovitost u iznosu od 129.749,85 eura za naknadu za smanjenje količine miješanog komunalnog otpada za 2024. godinu te </w:t>
      </w:r>
    </w:p>
    <w:p w14:paraId="544736D9" w14:textId="2C2F6583" w:rsidR="00E929DB" w:rsidRDefault="00000000" w:rsidP="00E929DB">
      <w:pPr>
        <w:pStyle w:val="Odlomakpopisa"/>
        <w:numPr>
          <w:ilvl w:val="0"/>
          <w:numId w:val="1"/>
        </w:numPr>
        <w:jc w:val="both"/>
      </w:pPr>
      <w:r>
        <w:t>obveze za tekuće i kapitalne pomoći proračunskim korisnicima drugih proračuna u iznosu od 302.823,49 eura. </w:t>
      </w:r>
    </w:p>
    <w:p w14:paraId="4D5E7E66" w14:textId="77777777" w:rsidR="00E929DB" w:rsidRDefault="00E929DB" w:rsidP="00E929DB">
      <w:pPr>
        <w:pStyle w:val="Odlomakpopisa"/>
        <w:jc w:val="both"/>
      </w:pPr>
    </w:p>
    <w:p w14:paraId="5A3ECE15" w14:textId="6B451518" w:rsidR="00C2431F" w:rsidRDefault="00000000" w:rsidP="00E929DB">
      <w:pPr>
        <w:jc w:val="both"/>
      </w:pPr>
      <w:r>
        <w:t>Preostali iznos nedospjelih obveza odnosi se na obveze za rashode poslovanja od 1.533.198,46 eura (obveze za zaposlene, obveze za materijalne rashode, obveze za naknade građanima i kućanstvima, PDV), nedospjele obveze za nabavu nefinancijske imovine u iznosu od 608.316,57 eura, obveze za zajmove u iznosu od 5.598.756,88 eura te obveze za predujmove i jamčevine u iznosu od 344.874,66 eura.</w:t>
      </w:r>
    </w:p>
    <w:p w14:paraId="3674D9D1" w14:textId="77777777" w:rsidR="00C2431F" w:rsidRDefault="00C2431F"/>
    <w:p w14:paraId="3BD4E6C4" w14:textId="77777777" w:rsidR="00C2431F" w:rsidRDefault="00000000">
      <w:pPr>
        <w:keepNext/>
        <w:spacing w:line="240" w:lineRule="auto"/>
        <w:jc w:val="center"/>
      </w:pPr>
      <w:r>
        <w:rPr>
          <w:sz w:val="28"/>
        </w:rPr>
        <w:t>Bilješka 74.</w:t>
      </w:r>
    </w:p>
    <w:p w14:paraId="71A5BDC0" w14:textId="77777777" w:rsidR="00C2431F" w:rsidRDefault="00000000" w:rsidP="003B2365">
      <w:pPr>
        <w:spacing w:line="240" w:lineRule="auto"/>
        <w:jc w:val="center"/>
      </w:pPr>
      <w:r>
        <w:rPr>
          <w:b/>
        </w:rPr>
        <w:t>EU izvještaj</w:t>
      </w:r>
    </w:p>
    <w:p w14:paraId="7E6D52B3" w14:textId="77777777" w:rsidR="00C2431F" w:rsidRDefault="00000000" w:rsidP="003B2365">
      <w:pPr>
        <w:spacing w:after="0" w:line="240" w:lineRule="auto"/>
        <w:jc w:val="both"/>
      </w:pPr>
      <w:r>
        <w:t>Grad Šibenik je tijekom izvještajnog razdoblja provodio projekte financirane iz fondova Europske unije i nacionalnim sredstvima sukladno sklopljenim ugovorima o dodjeli bespovratnih sredstava i važećim propisima o izvršavanju proračuna kako slijedi:</w:t>
      </w:r>
    </w:p>
    <w:p w14:paraId="430AA938" w14:textId="77777777" w:rsidR="00C2431F" w:rsidRDefault="00000000" w:rsidP="003B2365">
      <w:pPr>
        <w:spacing w:after="0" w:line="240" w:lineRule="auto"/>
        <w:jc w:val="both"/>
      </w:pPr>
      <w:r>
        <w:t>-          Programi unije,</w:t>
      </w:r>
    </w:p>
    <w:p w14:paraId="0B0A9D7E" w14:textId="77777777" w:rsidR="00C2431F" w:rsidRDefault="00000000" w:rsidP="003B2365">
      <w:pPr>
        <w:spacing w:after="0" w:line="240" w:lineRule="auto"/>
        <w:jc w:val="both"/>
      </w:pPr>
      <w:r>
        <w:t>-          Europski socijalni fond plus,</w:t>
      </w:r>
    </w:p>
    <w:p w14:paraId="31489D93" w14:textId="77777777" w:rsidR="00C2431F" w:rsidRDefault="00000000" w:rsidP="003B2365">
      <w:pPr>
        <w:spacing w:after="0" w:line="240" w:lineRule="auto"/>
        <w:jc w:val="both"/>
      </w:pPr>
      <w:r>
        <w:t>-          Europski fond za regionalni razvoj,</w:t>
      </w:r>
    </w:p>
    <w:p w14:paraId="49D1F016" w14:textId="77777777" w:rsidR="00C2431F" w:rsidRDefault="00000000" w:rsidP="003B2365">
      <w:pPr>
        <w:spacing w:after="0" w:line="240" w:lineRule="auto"/>
        <w:jc w:val="both"/>
      </w:pPr>
      <w:r>
        <w:t>-          Europski poljoprivredni fond za ruralni razvoj te</w:t>
      </w:r>
    </w:p>
    <w:p w14:paraId="15F4541C" w14:textId="77777777" w:rsidR="00C2431F" w:rsidRDefault="00000000" w:rsidP="003B2365">
      <w:pPr>
        <w:spacing w:after="0" w:line="240" w:lineRule="auto"/>
        <w:jc w:val="both"/>
      </w:pPr>
      <w:r>
        <w:t>-          Mehanizam za oporavak i otpornost – bespovratna sredstva.</w:t>
      </w:r>
    </w:p>
    <w:p w14:paraId="58398359" w14:textId="77777777" w:rsidR="00E929DB" w:rsidRPr="003B2365" w:rsidRDefault="00E929DB" w:rsidP="003B2365">
      <w:pPr>
        <w:spacing w:after="0" w:line="240" w:lineRule="auto"/>
        <w:rPr>
          <w:sz w:val="12"/>
          <w:szCs w:val="12"/>
        </w:rPr>
      </w:pPr>
    </w:p>
    <w:p w14:paraId="51E571AB" w14:textId="77777777" w:rsidR="003B2365" w:rsidRDefault="00000000" w:rsidP="003B2365">
      <w:pPr>
        <w:spacing w:after="0" w:line="240" w:lineRule="auto"/>
        <w:jc w:val="both"/>
      </w:pPr>
      <w:r>
        <w:t>Ukupni prihodi u izvještajnom razdoblju iznose 2.135.713,59 eura, od čega se većinski dio u visini 2.110.654,13 eura ili 98,83% odnosi na prihode za projekte koji su sufinancirani EU sredstvima, a 25.149,46 eura ili 1,17% za projekte koji su sufinancirani nacionalnim sredstvima.</w:t>
      </w:r>
    </w:p>
    <w:p w14:paraId="40A1AEA1" w14:textId="14992321" w:rsidR="00C2431F" w:rsidRDefault="00000000" w:rsidP="003B2365">
      <w:pPr>
        <w:spacing w:after="0" w:line="240" w:lineRule="auto"/>
        <w:jc w:val="both"/>
      </w:pPr>
      <w:r>
        <w:lastRenderedPageBreak/>
        <w:t>Ukupni rashodi u izvještajnom razdoblju iznose 1.065.597,41 eura, od čega se većinski dio u visini 980.352,35 eura ili 92% odnosi na rashode za potrebe provođenja projekata koji su sufinancirani EU sredstvima, a 85.245,06 eura ili 8% na rashode za potrebe provođenja projekata koji su sufinancirani nacionalnim sredstvima.</w:t>
      </w:r>
    </w:p>
    <w:p w14:paraId="0A69D628" w14:textId="77777777" w:rsidR="003B2365" w:rsidRDefault="003B2365" w:rsidP="003B2365">
      <w:pPr>
        <w:spacing w:line="240" w:lineRule="auto"/>
        <w:rPr>
          <w:b/>
        </w:rPr>
      </w:pPr>
    </w:p>
    <w:p w14:paraId="15B51C19" w14:textId="1000D14B" w:rsidR="00C2431F" w:rsidRDefault="00000000" w:rsidP="003B2365">
      <w:pPr>
        <w:spacing w:line="240" w:lineRule="auto"/>
      </w:pPr>
      <w:r>
        <w:rPr>
          <w:b/>
        </w:rPr>
        <w:t>Nacionalno sufinanciranje</w:t>
      </w:r>
    </w:p>
    <w:p w14:paraId="6003BB1B" w14:textId="77777777" w:rsidR="00C2431F" w:rsidRDefault="00000000" w:rsidP="003B2365">
      <w:pPr>
        <w:spacing w:after="0" w:line="240" w:lineRule="auto"/>
        <w:jc w:val="both"/>
      </w:pPr>
      <w:r>
        <w:t>Sredstva nacionalnog sufinanciranja u potpunosti se odnose na projekt Pomoćnici u nastavi 6 za razdoblje od 29.8.2024. do 29.7.2027. godine. Projektom su uz Grad Šibenik kao korisnika projekta obuhvaćene i osnovne škole grada Šibenika kao partneri na projektu:</w:t>
      </w:r>
    </w:p>
    <w:p w14:paraId="0A2DD45A" w14:textId="68199D2F" w:rsidR="00C2431F" w:rsidRDefault="00000000" w:rsidP="003B2365">
      <w:pPr>
        <w:pStyle w:val="Odlomakpopisa"/>
        <w:numPr>
          <w:ilvl w:val="0"/>
          <w:numId w:val="10"/>
        </w:numPr>
        <w:ind w:left="709" w:hanging="425"/>
        <w:jc w:val="both"/>
      </w:pPr>
      <w:r>
        <w:t>OŠ Jurja Dalmatinca,</w:t>
      </w:r>
    </w:p>
    <w:p w14:paraId="1B38367F" w14:textId="47FB4B54" w:rsidR="00C2431F" w:rsidRDefault="00000000" w:rsidP="003B2365">
      <w:pPr>
        <w:pStyle w:val="Odlomakpopisa"/>
        <w:numPr>
          <w:ilvl w:val="0"/>
          <w:numId w:val="10"/>
        </w:numPr>
        <w:ind w:left="709" w:hanging="425"/>
        <w:jc w:val="both"/>
      </w:pPr>
      <w:r>
        <w:t>OŠ Petra Krešimira IV,</w:t>
      </w:r>
    </w:p>
    <w:p w14:paraId="568F69A5" w14:textId="618D5BEF" w:rsidR="00C2431F" w:rsidRDefault="00000000" w:rsidP="003B2365">
      <w:pPr>
        <w:pStyle w:val="Odlomakpopisa"/>
        <w:numPr>
          <w:ilvl w:val="0"/>
          <w:numId w:val="10"/>
        </w:numPr>
        <w:ind w:left="709" w:hanging="425"/>
        <w:jc w:val="both"/>
      </w:pPr>
      <w:r>
        <w:t xml:space="preserve">OŠ </w:t>
      </w:r>
      <w:proofErr w:type="spellStart"/>
      <w:r>
        <w:t>Meterize</w:t>
      </w:r>
      <w:proofErr w:type="spellEnd"/>
      <w:r>
        <w:t>,</w:t>
      </w:r>
    </w:p>
    <w:p w14:paraId="56D4D208" w14:textId="718961ED" w:rsidR="00C2431F" w:rsidRDefault="00000000" w:rsidP="003B2365">
      <w:pPr>
        <w:pStyle w:val="Odlomakpopisa"/>
        <w:numPr>
          <w:ilvl w:val="0"/>
          <w:numId w:val="10"/>
        </w:numPr>
        <w:ind w:left="709" w:hanging="425"/>
        <w:jc w:val="both"/>
      </w:pPr>
      <w:r>
        <w:t>OŠ Fausta Vrančića,</w:t>
      </w:r>
    </w:p>
    <w:p w14:paraId="3D8A56BF" w14:textId="042F2692" w:rsidR="00C2431F" w:rsidRDefault="00000000" w:rsidP="003B2365">
      <w:pPr>
        <w:pStyle w:val="Odlomakpopisa"/>
        <w:numPr>
          <w:ilvl w:val="0"/>
          <w:numId w:val="10"/>
        </w:numPr>
        <w:ind w:left="709" w:hanging="425"/>
        <w:jc w:val="both"/>
      </w:pPr>
      <w:r>
        <w:t xml:space="preserve">OŠ Jurja </w:t>
      </w:r>
      <w:proofErr w:type="spellStart"/>
      <w:r>
        <w:t>Šižgorića</w:t>
      </w:r>
      <w:proofErr w:type="spellEnd"/>
      <w:r>
        <w:t>,</w:t>
      </w:r>
    </w:p>
    <w:p w14:paraId="7F2EAF0E" w14:textId="7EB41AE5" w:rsidR="00C2431F" w:rsidRDefault="00000000" w:rsidP="003B2365">
      <w:pPr>
        <w:pStyle w:val="Odlomakpopisa"/>
        <w:numPr>
          <w:ilvl w:val="0"/>
          <w:numId w:val="10"/>
        </w:numPr>
        <w:ind w:left="709" w:hanging="425"/>
        <w:jc w:val="both"/>
      </w:pPr>
      <w:r>
        <w:t>OŠ Vidici,</w:t>
      </w:r>
    </w:p>
    <w:p w14:paraId="3CFEABD7" w14:textId="648572CD" w:rsidR="00C2431F" w:rsidRDefault="00000000" w:rsidP="003B2365">
      <w:pPr>
        <w:pStyle w:val="Odlomakpopisa"/>
        <w:numPr>
          <w:ilvl w:val="0"/>
          <w:numId w:val="10"/>
        </w:numPr>
        <w:ind w:left="709" w:hanging="425"/>
        <w:jc w:val="both"/>
      </w:pPr>
      <w:r>
        <w:t>OŠ Tina Ujevića,</w:t>
      </w:r>
    </w:p>
    <w:p w14:paraId="11132569" w14:textId="4C65569B" w:rsidR="00C2431F" w:rsidRDefault="00000000" w:rsidP="003B2365">
      <w:pPr>
        <w:pStyle w:val="Odlomakpopisa"/>
        <w:numPr>
          <w:ilvl w:val="0"/>
          <w:numId w:val="10"/>
        </w:numPr>
        <w:ind w:left="709" w:hanging="425"/>
        <w:jc w:val="both"/>
      </w:pPr>
      <w:r>
        <w:t>OŠ Vrpolje te</w:t>
      </w:r>
    </w:p>
    <w:p w14:paraId="268ED981" w14:textId="2A67D14F" w:rsidR="00C2431F" w:rsidRDefault="00000000" w:rsidP="003B2365">
      <w:pPr>
        <w:pStyle w:val="Odlomakpopisa"/>
        <w:numPr>
          <w:ilvl w:val="0"/>
          <w:numId w:val="10"/>
        </w:numPr>
        <w:ind w:left="709" w:hanging="425"/>
        <w:jc w:val="both"/>
      </w:pPr>
      <w:r>
        <w:t>OŠ Brodarica.</w:t>
      </w:r>
    </w:p>
    <w:p w14:paraId="3AFEE2FB" w14:textId="77777777" w:rsidR="00E929DB" w:rsidRPr="003B2365" w:rsidRDefault="00E929DB" w:rsidP="003B2365">
      <w:pPr>
        <w:spacing w:after="0" w:line="240" w:lineRule="auto"/>
        <w:rPr>
          <w:sz w:val="16"/>
          <w:szCs w:val="16"/>
        </w:rPr>
      </w:pPr>
    </w:p>
    <w:p w14:paraId="513AF1B8" w14:textId="48889668" w:rsidR="00C2431F" w:rsidRDefault="00000000" w:rsidP="003B2365">
      <w:pPr>
        <w:spacing w:after="0" w:line="240" w:lineRule="auto"/>
        <w:jc w:val="both"/>
      </w:pPr>
      <w:r>
        <w:t>Bespovratna sredstva osigurana projektom iznose 1.489.900,14 eura, a dijele se u omjeru 15% iz Državnog proračuna Republike Hrvatske te 85% iz Europskog socijalnog fonda.</w:t>
      </w:r>
    </w:p>
    <w:p w14:paraId="5D580119" w14:textId="77777777" w:rsidR="00C2431F" w:rsidRDefault="00000000" w:rsidP="003B2365">
      <w:pPr>
        <w:spacing w:after="0" w:line="240" w:lineRule="auto"/>
        <w:jc w:val="both"/>
      </w:pPr>
      <w:r>
        <w:t>Ukupni prihodi u visini 25.149,46 eura odnose se u cijelosti na tekuće pomoći iz državnog proračuna temeljem prijenosa EU sredstava (šifra 63811), odnosno doznačena sredstva Ministarstva znanosti, obrazovanja i mladih.</w:t>
      </w:r>
    </w:p>
    <w:p w14:paraId="30473590" w14:textId="77777777" w:rsidR="003B2365" w:rsidRPr="003B2365" w:rsidRDefault="003B2365" w:rsidP="003B2365">
      <w:pPr>
        <w:spacing w:after="0" w:line="240" w:lineRule="auto"/>
        <w:jc w:val="both"/>
        <w:rPr>
          <w:sz w:val="12"/>
          <w:szCs w:val="12"/>
        </w:rPr>
      </w:pPr>
    </w:p>
    <w:p w14:paraId="142F1372" w14:textId="35D7BBAA" w:rsidR="00C2431F" w:rsidRDefault="00000000" w:rsidP="003B2365">
      <w:pPr>
        <w:spacing w:after="0" w:line="240" w:lineRule="auto"/>
        <w:jc w:val="both"/>
      </w:pPr>
      <w:r>
        <w:t>Ukupni rashodi odnose se na rashode poslovanja u visini 85.245,06 eura, a najveći dio u visini 85.147,01 eura ili 99,88% odnosi na tekuće prijenose između proračunskih korisnika istog proračuna temeljem prijenosa EU sredstava (šifra 3693), odnosno osnovnim školama koje su partneri na projektu.</w:t>
      </w:r>
    </w:p>
    <w:p w14:paraId="133DD308" w14:textId="77777777" w:rsidR="003B2365" w:rsidRPr="003B2365" w:rsidRDefault="003B2365" w:rsidP="003B2365">
      <w:pPr>
        <w:spacing w:after="0" w:line="240" w:lineRule="auto"/>
        <w:jc w:val="both"/>
        <w:rPr>
          <w:sz w:val="12"/>
          <w:szCs w:val="12"/>
        </w:rPr>
      </w:pPr>
    </w:p>
    <w:p w14:paraId="6D09BD73" w14:textId="36DE8FC2" w:rsidR="00C2431F" w:rsidRDefault="00000000" w:rsidP="003B2365">
      <w:pPr>
        <w:spacing w:after="0" w:line="240" w:lineRule="auto"/>
        <w:jc w:val="both"/>
      </w:pPr>
      <w:r>
        <w:t>Potraživanje za tekuće pomoći iz državnog proračuna temeljem prijenosa EU sredstava (šifra 16381) odnose se na potraživanja po podnesenim i odobrenim ZNS-ovima koja iznose 13.409,10 eura.</w:t>
      </w:r>
    </w:p>
    <w:p w14:paraId="2C9ADA67" w14:textId="77777777" w:rsidR="003B2365" w:rsidRPr="003B2365" w:rsidRDefault="003B2365" w:rsidP="003B2365">
      <w:pPr>
        <w:spacing w:after="0" w:line="240" w:lineRule="auto"/>
        <w:jc w:val="both"/>
        <w:rPr>
          <w:sz w:val="12"/>
          <w:szCs w:val="12"/>
        </w:rPr>
      </w:pPr>
    </w:p>
    <w:p w14:paraId="29B5D818" w14:textId="45D58D4F" w:rsidR="00C2431F" w:rsidRDefault="00000000" w:rsidP="003B2365">
      <w:pPr>
        <w:spacing w:after="0" w:line="240" w:lineRule="auto"/>
        <w:jc w:val="both"/>
      </w:pPr>
      <w:r>
        <w:t>Obveze za EU predujmove iz državnog proračuna (šifra 27521) iznose 18.850,54 eura i odnose se na potraživanja za predujam od Ministarstva znanosti i obrazovanja RH za dio koji je sufinanciran iz Državnog proračuna Republike Hrvatske.</w:t>
      </w:r>
    </w:p>
    <w:p w14:paraId="26473E50" w14:textId="77777777" w:rsidR="003B2365" w:rsidRPr="003B2365" w:rsidRDefault="003B2365" w:rsidP="003B2365">
      <w:pPr>
        <w:spacing w:after="0" w:line="240" w:lineRule="auto"/>
        <w:jc w:val="both"/>
        <w:rPr>
          <w:sz w:val="12"/>
          <w:szCs w:val="12"/>
        </w:rPr>
      </w:pPr>
    </w:p>
    <w:p w14:paraId="402FD92D" w14:textId="4BB97EEE" w:rsidR="00C2431F" w:rsidRDefault="00000000" w:rsidP="003B2365">
      <w:pPr>
        <w:spacing w:line="240" w:lineRule="auto"/>
        <w:jc w:val="both"/>
      </w:pPr>
      <w:r>
        <w:t>Potraživanja po ugovorima o dodijeljenim bespovratnim sredstvima iz EU fondova (šifra 99171) iznose 139.926,46 eura, a odnose se na preostali iznos bespovratnih sredstava po ugovoru o sufinanciranju za projekt Pomoćnici u nastavi 6.</w:t>
      </w:r>
    </w:p>
    <w:p w14:paraId="06AB5FA1" w14:textId="77777777" w:rsidR="00C2431F" w:rsidRPr="003B2365" w:rsidRDefault="00000000" w:rsidP="003B2365">
      <w:pPr>
        <w:spacing w:line="240" w:lineRule="auto"/>
        <w:rPr>
          <w:sz w:val="16"/>
          <w:szCs w:val="16"/>
        </w:rPr>
      </w:pPr>
      <w:r>
        <w:t> </w:t>
      </w:r>
    </w:p>
    <w:p w14:paraId="77805384" w14:textId="77777777" w:rsidR="00C2431F" w:rsidRDefault="00000000" w:rsidP="003B2365">
      <w:pPr>
        <w:spacing w:line="240" w:lineRule="auto"/>
      </w:pPr>
      <w:r>
        <w:rPr>
          <w:b/>
        </w:rPr>
        <w:t>510 Programi unije</w:t>
      </w:r>
    </w:p>
    <w:p w14:paraId="1110D95B" w14:textId="77777777" w:rsidR="00C2431F" w:rsidRDefault="00000000" w:rsidP="003B2365">
      <w:pPr>
        <w:spacing w:after="0" w:line="240" w:lineRule="auto"/>
        <w:jc w:val="both"/>
      </w:pPr>
      <w:r>
        <w:t>Temeljem sklopljenih ugovora o sufinanciranja u izvještajnom razdoblju ostvareni su ukupni prihodi u visini 377.197,87 eura, a isti se u cijelosti odnose na tekuće pomoći od institucija i tijela EU (šifra 6323). Navedeni iznos pomoći odnosi se na projekte:</w:t>
      </w:r>
    </w:p>
    <w:p w14:paraId="4E6F28D6" w14:textId="2466AFD4" w:rsidR="00C2431F" w:rsidRDefault="00000000" w:rsidP="003B2365">
      <w:pPr>
        <w:pStyle w:val="Odlomakpopisa"/>
        <w:numPr>
          <w:ilvl w:val="0"/>
          <w:numId w:val="10"/>
        </w:numPr>
        <w:tabs>
          <w:tab w:val="left" w:pos="709"/>
        </w:tabs>
        <w:ind w:left="1134" w:hanging="850"/>
      </w:pPr>
      <w:r>
        <w:t>VIDZEME PLANNING REGION u iznosu 1.207,50 eura,</w:t>
      </w:r>
    </w:p>
    <w:p w14:paraId="197E7D1A" w14:textId="03A18E13" w:rsidR="00C2431F" w:rsidRDefault="00000000" w:rsidP="003B2365">
      <w:pPr>
        <w:pStyle w:val="Odlomakpopisa"/>
        <w:numPr>
          <w:ilvl w:val="0"/>
          <w:numId w:val="10"/>
        </w:numPr>
        <w:tabs>
          <w:tab w:val="left" w:pos="709"/>
        </w:tabs>
        <w:ind w:left="1134" w:hanging="850"/>
      </w:pPr>
      <w:r>
        <w:t>SUPERBE u iznosu 35.195,58 eura,</w:t>
      </w:r>
    </w:p>
    <w:p w14:paraId="2491FC61" w14:textId="40CEA1C3" w:rsidR="00C2431F" w:rsidRDefault="00000000" w:rsidP="003B2365">
      <w:pPr>
        <w:pStyle w:val="Odlomakpopisa"/>
        <w:numPr>
          <w:ilvl w:val="0"/>
          <w:numId w:val="10"/>
        </w:numPr>
        <w:tabs>
          <w:tab w:val="left" w:pos="709"/>
        </w:tabs>
        <w:ind w:left="1134" w:hanging="850"/>
      </w:pPr>
      <w:r>
        <w:t>SITE u iznosu 74.641,10 eura,</w:t>
      </w:r>
    </w:p>
    <w:p w14:paraId="0F8BD5FB" w14:textId="48E82635" w:rsidR="00C2431F" w:rsidRDefault="00000000" w:rsidP="003B2365">
      <w:pPr>
        <w:pStyle w:val="Odlomakpopisa"/>
        <w:numPr>
          <w:ilvl w:val="0"/>
          <w:numId w:val="10"/>
        </w:numPr>
        <w:tabs>
          <w:tab w:val="left" w:pos="709"/>
          <w:tab w:val="left" w:pos="851"/>
        </w:tabs>
        <w:ind w:left="1134" w:hanging="850"/>
      </w:pPr>
      <w:r>
        <w:t>RE-ACT u iznosu 6.196,80 eura,</w:t>
      </w:r>
    </w:p>
    <w:p w14:paraId="029CAF44" w14:textId="3AE971AB" w:rsidR="00C2431F" w:rsidRDefault="00000000" w:rsidP="003B2365">
      <w:pPr>
        <w:pStyle w:val="Odlomakpopisa"/>
        <w:numPr>
          <w:ilvl w:val="0"/>
          <w:numId w:val="10"/>
        </w:numPr>
        <w:tabs>
          <w:tab w:val="left" w:pos="709"/>
        </w:tabs>
        <w:ind w:left="1134" w:hanging="850"/>
      </w:pPr>
      <w:r>
        <w:lastRenderedPageBreak/>
        <w:t>SIRM (INTERREG EUROPE) u iznosu 53.485,50 eura,</w:t>
      </w:r>
    </w:p>
    <w:p w14:paraId="4FFC7634" w14:textId="4067CF38" w:rsidR="00C2431F" w:rsidRDefault="00000000" w:rsidP="003B2365">
      <w:pPr>
        <w:pStyle w:val="Odlomakpopisa"/>
        <w:numPr>
          <w:ilvl w:val="0"/>
          <w:numId w:val="10"/>
        </w:numPr>
        <w:tabs>
          <w:tab w:val="left" w:pos="709"/>
        </w:tabs>
        <w:ind w:left="1134" w:hanging="850"/>
      </w:pPr>
      <w:r>
        <w:t>E-VOICE u iznosu 8.000,00 eura,</w:t>
      </w:r>
    </w:p>
    <w:p w14:paraId="234F9312" w14:textId="2D21D0F4" w:rsidR="00C2431F" w:rsidRDefault="00000000" w:rsidP="003B2365">
      <w:pPr>
        <w:pStyle w:val="Odlomakpopisa"/>
        <w:numPr>
          <w:ilvl w:val="0"/>
          <w:numId w:val="10"/>
        </w:numPr>
        <w:tabs>
          <w:tab w:val="left" w:pos="709"/>
        </w:tabs>
        <w:ind w:left="1134" w:hanging="850"/>
      </w:pPr>
      <w:r>
        <w:t>RESIDENTS OF THE FUTURE u iznosu 196.165,39 eura te</w:t>
      </w:r>
    </w:p>
    <w:p w14:paraId="3EC9CC6A" w14:textId="1602A61E" w:rsidR="00C2431F" w:rsidRDefault="00000000" w:rsidP="003B2365">
      <w:pPr>
        <w:pStyle w:val="Odlomakpopisa"/>
        <w:numPr>
          <w:ilvl w:val="0"/>
          <w:numId w:val="10"/>
        </w:numPr>
        <w:tabs>
          <w:tab w:val="left" w:pos="709"/>
        </w:tabs>
        <w:ind w:left="1134" w:hanging="850"/>
      </w:pPr>
      <w:r>
        <w:t>URBANA AGENDA ZA EU u iznosu 2.306,00 eura.</w:t>
      </w:r>
    </w:p>
    <w:p w14:paraId="34897D01" w14:textId="77777777" w:rsidR="000E32CC" w:rsidRPr="003B2365" w:rsidRDefault="000E32CC" w:rsidP="003B2365">
      <w:pPr>
        <w:spacing w:after="0" w:line="240" w:lineRule="auto"/>
        <w:rPr>
          <w:sz w:val="16"/>
          <w:szCs w:val="16"/>
        </w:rPr>
      </w:pPr>
    </w:p>
    <w:p w14:paraId="5EB3E528" w14:textId="687A3D2B" w:rsidR="00C2431F" w:rsidRDefault="00000000" w:rsidP="003B2365">
      <w:pPr>
        <w:spacing w:after="0" w:line="240" w:lineRule="auto"/>
        <w:jc w:val="both"/>
      </w:pPr>
      <w:r>
        <w:t>U izvještajnom razdoblju ostvareni su ukupni rashodi u iznosu 374.552,77 eura. Najveći dio odnosi se na rashode poslovanja (šifra 3) u visini 371.482,77 eura te 3.070,00 eura na rashode za nabavu nefinancijske imovine (šifra 4). Navedeni rashodi odnose se na rashode za provođenje sljedećih projekata:</w:t>
      </w:r>
    </w:p>
    <w:p w14:paraId="366B29E4" w14:textId="3AE5A219" w:rsidR="00C2431F" w:rsidRDefault="00000000" w:rsidP="003B2365">
      <w:pPr>
        <w:pStyle w:val="Odlomakpopisa"/>
        <w:numPr>
          <w:ilvl w:val="0"/>
          <w:numId w:val="10"/>
        </w:numPr>
        <w:ind w:left="993" w:hanging="567"/>
      </w:pPr>
      <w:r>
        <w:t>FORYOUTH u iznosu 1.080,18 eura,</w:t>
      </w:r>
    </w:p>
    <w:p w14:paraId="4832DB0E" w14:textId="064D35D1" w:rsidR="00C2431F" w:rsidRDefault="00000000" w:rsidP="003B2365">
      <w:pPr>
        <w:pStyle w:val="Odlomakpopisa"/>
        <w:numPr>
          <w:ilvl w:val="0"/>
          <w:numId w:val="10"/>
        </w:numPr>
        <w:ind w:left="993" w:hanging="567"/>
      </w:pPr>
      <w:r>
        <w:t>SPINE (HORIZON) u iznosu 76.239,01 eura,</w:t>
      </w:r>
    </w:p>
    <w:p w14:paraId="620A9002" w14:textId="4301692A" w:rsidR="00C2431F" w:rsidRDefault="00000000" w:rsidP="003B2365">
      <w:pPr>
        <w:pStyle w:val="Odlomakpopisa"/>
        <w:numPr>
          <w:ilvl w:val="0"/>
          <w:numId w:val="10"/>
        </w:numPr>
        <w:ind w:left="993" w:hanging="567"/>
      </w:pPr>
      <w:r>
        <w:t>URBANA AGENDA ZA EU u iznosu 2.306,00 eura,</w:t>
      </w:r>
    </w:p>
    <w:p w14:paraId="4A439A75" w14:textId="01DF6A6F" w:rsidR="00C2431F" w:rsidRDefault="00000000" w:rsidP="003B2365">
      <w:pPr>
        <w:pStyle w:val="Odlomakpopisa"/>
        <w:numPr>
          <w:ilvl w:val="0"/>
          <w:numId w:val="10"/>
        </w:numPr>
        <w:ind w:left="993" w:hanging="567"/>
      </w:pPr>
      <w:r>
        <w:t>SIRM (INTERREG EUROPE) u iznosu 27.482,63 eura,</w:t>
      </w:r>
    </w:p>
    <w:p w14:paraId="1E894C67" w14:textId="576F8D3B" w:rsidR="00C2431F" w:rsidRDefault="00000000" w:rsidP="003B2365">
      <w:pPr>
        <w:pStyle w:val="Odlomakpopisa"/>
        <w:numPr>
          <w:ilvl w:val="0"/>
          <w:numId w:val="10"/>
        </w:numPr>
        <w:ind w:left="993" w:hanging="567"/>
      </w:pPr>
      <w:r>
        <w:t>RESIDENTS OF THE FUTURE u iznosu 180.955,27 eura,</w:t>
      </w:r>
    </w:p>
    <w:p w14:paraId="1444D35A" w14:textId="719D506A" w:rsidR="00C2431F" w:rsidRDefault="00000000" w:rsidP="003B2365">
      <w:pPr>
        <w:pStyle w:val="Odlomakpopisa"/>
        <w:numPr>
          <w:ilvl w:val="0"/>
          <w:numId w:val="10"/>
        </w:numPr>
        <w:ind w:left="993" w:hanging="567"/>
      </w:pPr>
      <w:r>
        <w:t>SITE  u iznosu 51.294,10 eura te</w:t>
      </w:r>
    </w:p>
    <w:p w14:paraId="2F6CE58F" w14:textId="12AC3A51" w:rsidR="00C2431F" w:rsidRDefault="00000000" w:rsidP="003B2365">
      <w:pPr>
        <w:pStyle w:val="Odlomakpopisa"/>
        <w:numPr>
          <w:ilvl w:val="0"/>
          <w:numId w:val="10"/>
        </w:numPr>
        <w:ind w:left="993" w:hanging="567"/>
      </w:pPr>
      <w:r>
        <w:t>SUPERBE u iznosu 35.195,58 eura.</w:t>
      </w:r>
    </w:p>
    <w:p w14:paraId="5E21430E" w14:textId="77777777" w:rsidR="000E32CC" w:rsidRPr="003B2365" w:rsidRDefault="000E32CC" w:rsidP="003B2365">
      <w:pPr>
        <w:spacing w:after="0" w:line="240" w:lineRule="auto"/>
        <w:jc w:val="both"/>
        <w:rPr>
          <w:sz w:val="16"/>
          <w:szCs w:val="16"/>
        </w:rPr>
      </w:pPr>
    </w:p>
    <w:p w14:paraId="7FAF6BD2" w14:textId="198D55CC" w:rsidR="00C2431F" w:rsidRDefault="00000000" w:rsidP="003B2365">
      <w:pPr>
        <w:spacing w:after="0" w:line="240" w:lineRule="auto"/>
        <w:jc w:val="both"/>
      </w:pPr>
      <w:r>
        <w:t xml:space="preserve">U strukturi rashoda poslovanja najveći dio odnosi se na sufinanciranje rashoda za plaće u visini 149.225,15 eura ili 40,17% te 130.001,97 eura ili 34,99% koje se odnose na tekuće pomoći inozemnim vlada, odnosno partnerima na projektu </w:t>
      </w:r>
      <w:proofErr w:type="spellStart"/>
      <w:r>
        <w:t>Residents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future.</w:t>
      </w:r>
    </w:p>
    <w:p w14:paraId="07C8656F" w14:textId="77777777" w:rsidR="00C2431F" w:rsidRDefault="00000000" w:rsidP="003B2365">
      <w:pPr>
        <w:spacing w:after="0" w:line="240" w:lineRule="auto"/>
        <w:jc w:val="both"/>
      </w:pPr>
      <w:r>
        <w:t>Potraživanje za tekuće pomoći od institucija i tijela EU (šifra 16323) odnosi se na potraživanja po podnesenim i odobrenim ZNS-ovima za navedene projekte i iznose 134.909,21 eura.</w:t>
      </w:r>
    </w:p>
    <w:p w14:paraId="1FC7C51A" w14:textId="77777777" w:rsidR="000E32CC" w:rsidRPr="003B2365" w:rsidRDefault="000E32CC" w:rsidP="003B2365">
      <w:pPr>
        <w:spacing w:after="0" w:line="240" w:lineRule="auto"/>
        <w:rPr>
          <w:sz w:val="16"/>
          <w:szCs w:val="16"/>
        </w:rPr>
      </w:pPr>
    </w:p>
    <w:p w14:paraId="2DE7F678" w14:textId="3D166905" w:rsidR="00C2431F" w:rsidRDefault="00000000" w:rsidP="003B2365">
      <w:pPr>
        <w:spacing w:after="0" w:line="240" w:lineRule="auto"/>
        <w:jc w:val="both"/>
      </w:pPr>
      <w:r>
        <w:t>Potraživanja po ugovorima o dodijeljenim bespovratnim sredstvima iz EU fondova (šifra 99171) iznose 938.045,18 eura, a odnose se na preostala bespovratna sredstva po ugovorima o sufinanciranju za projekte:</w:t>
      </w:r>
    </w:p>
    <w:p w14:paraId="36E71457" w14:textId="41E42DF5" w:rsidR="00C2431F" w:rsidRDefault="00000000" w:rsidP="003B2365">
      <w:pPr>
        <w:pStyle w:val="Odlomakpopisa"/>
        <w:numPr>
          <w:ilvl w:val="0"/>
          <w:numId w:val="10"/>
        </w:numPr>
        <w:ind w:left="993" w:hanging="567"/>
      </w:pPr>
      <w:r>
        <w:t>FORYOUTH u iznosu 134.973,78 eura,</w:t>
      </w:r>
    </w:p>
    <w:p w14:paraId="5A0410AA" w14:textId="6C283F72" w:rsidR="00C2431F" w:rsidRDefault="00000000" w:rsidP="003B2365">
      <w:pPr>
        <w:pStyle w:val="Odlomakpopisa"/>
        <w:numPr>
          <w:ilvl w:val="0"/>
          <w:numId w:val="10"/>
        </w:numPr>
        <w:ind w:left="993" w:hanging="567"/>
      </w:pPr>
      <w:r>
        <w:t>SPINE (HORIZON) u iznosu 232.305,68 eura,</w:t>
      </w:r>
    </w:p>
    <w:p w14:paraId="69003966" w14:textId="56FEF7F3" w:rsidR="00C2431F" w:rsidRDefault="00000000" w:rsidP="003B2365">
      <w:pPr>
        <w:pStyle w:val="Odlomakpopisa"/>
        <w:numPr>
          <w:ilvl w:val="0"/>
          <w:numId w:val="10"/>
        </w:numPr>
        <w:ind w:left="993" w:hanging="567"/>
      </w:pPr>
      <w:r>
        <w:t>SIRM (INTERREG EUROPE) u iznosu 37.746,96 eura,</w:t>
      </w:r>
    </w:p>
    <w:p w14:paraId="48A6F09F" w14:textId="159E2D72" w:rsidR="00C2431F" w:rsidRDefault="00000000" w:rsidP="003B2365">
      <w:pPr>
        <w:pStyle w:val="Odlomakpopisa"/>
        <w:numPr>
          <w:ilvl w:val="0"/>
          <w:numId w:val="10"/>
        </w:numPr>
        <w:ind w:left="993" w:hanging="567"/>
      </w:pPr>
      <w:r>
        <w:t>RESIDENTS OF THE FUTURE u iznosu 370.827,97 eura,</w:t>
      </w:r>
    </w:p>
    <w:p w14:paraId="4769D330" w14:textId="5170AE9E" w:rsidR="00C2431F" w:rsidRDefault="00000000" w:rsidP="003B2365">
      <w:pPr>
        <w:pStyle w:val="Odlomakpopisa"/>
        <w:numPr>
          <w:ilvl w:val="0"/>
          <w:numId w:val="10"/>
        </w:numPr>
        <w:ind w:left="993" w:hanging="567"/>
      </w:pPr>
      <w:r>
        <w:t>SITE  u iznosu 111.238,90 eura te</w:t>
      </w:r>
    </w:p>
    <w:p w14:paraId="41D7A098" w14:textId="3C47307A" w:rsidR="00C2431F" w:rsidRDefault="00000000" w:rsidP="003B2365">
      <w:pPr>
        <w:pStyle w:val="Odlomakpopisa"/>
        <w:numPr>
          <w:ilvl w:val="0"/>
          <w:numId w:val="10"/>
        </w:numPr>
        <w:ind w:left="993" w:hanging="567"/>
      </w:pPr>
      <w:r>
        <w:t>SUPERBE u iznosu 50.951,89 eura.</w:t>
      </w:r>
    </w:p>
    <w:p w14:paraId="2D94DA0A" w14:textId="77777777" w:rsidR="00E929DB" w:rsidRDefault="00E929DB" w:rsidP="003B2365">
      <w:pPr>
        <w:spacing w:line="240" w:lineRule="auto"/>
        <w:rPr>
          <w:b/>
        </w:rPr>
      </w:pPr>
    </w:p>
    <w:p w14:paraId="0838BDFD" w14:textId="51EDDF1A" w:rsidR="00C2431F" w:rsidRDefault="00000000" w:rsidP="003B2365">
      <w:pPr>
        <w:spacing w:line="240" w:lineRule="auto"/>
      </w:pPr>
      <w:r>
        <w:rPr>
          <w:b/>
        </w:rPr>
        <w:t>561 Europski socijalni fond plus</w:t>
      </w:r>
    </w:p>
    <w:p w14:paraId="03DD536D" w14:textId="77777777" w:rsidR="00C2431F" w:rsidRDefault="00000000" w:rsidP="003B2365">
      <w:pPr>
        <w:spacing w:after="0" w:line="240" w:lineRule="auto"/>
        <w:jc w:val="both"/>
      </w:pPr>
      <w:r>
        <w:t>Sredstva Europskog socijalnog fonda plus u potpunosti se odnose na projekt Pomoćnici u nastavi 6 za razdoblje od 29.8.2024. do 29.7.2027. godine. Projektom su uz Grad Šibenik kao korisnika projekta obuhvaćene i osnovne škole Grada Šibenika kao partneri na projektu:</w:t>
      </w:r>
    </w:p>
    <w:p w14:paraId="5CD63F22" w14:textId="45FD934E" w:rsidR="00C2431F" w:rsidRDefault="00000000" w:rsidP="003B2365">
      <w:pPr>
        <w:pStyle w:val="Odlomakpopisa"/>
        <w:numPr>
          <w:ilvl w:val="0"/>
          <w:numId w:val="10"/>
        </w:numPr>
        <w:ind w:left="993" w:hanging="426"/>
        <w:jc w:val="both"/>
      </w:pPr>
      <w:r>
        <w:t>OŠ Jurja Dalmatinca,</w:t>
      </w:r>
    </w:p>
    <w:p w14:paraId="2240E095" w14:textId="60C55429" w:rsidR="00C2431F" w:rsidRDefault="00000000" w:rsidP="003B2365">
      <w:pPr>
        <w:pStyle w:val="Odlomakpopisa"/>
        <w:numPr>
          <w:ilvl w:val="0"/>
          <w:numId w:val="10"/>
        </w:numPr>
        <w:ind w:left="993" w:hanging="426"/>
        <w:jc w:val="both"/>
      </w:pPr>
      <w:r>
        <w:t>OŠ Petra Krešimira IV,</w:t>
      </w:r>
    </w:p>
    <w:p w14:paraId="2DF476D1" w14:textId="5031BC22" w:rsidR="00C2431F" w:rsidRDefault="00000000" w:rsidP="003B2365">
      <w:pPr>
        <w:pStyle w:val="Odlomakpopisa"/>
        <w:numPr>
          <w:ilvl w:val="0"/>
          <w:numId w:val="10"/>
        </w:numPr>
        <w:ind w:left="993" w:hanging="426"/>
        <w:jc w:val="both"/>
      </w:pPr>
      <w:r>
        <w:t xml:space="preserve">OŠ </w:t>
      </w:r>
      <w:proofErr w:type="spellStart"/>
      <w:r>
        <w:t>Meterize</w:t>
      </w:r>
      <w:proofErr w:type="spellEnd"/>
      <w:r>
        <w:t>,</w:t>
      </w:r>
    </w:p>
    <w:p w14:paraId="167EFCBB" w14:textId="1059B2D0" w:rsidR="00C2431F" w:rsidRDefault="00000000" w:rsidP="003B2365">
      <w:pPr>
        <w:pStyle w:val="Odlomakpopisa"/>
        <w:numPr>
          <w:ilvl w:val="0"/>
          <w:numId w:val="10"/>
        </w:numPr>
        <w:ind w:left="993" w:hanging="426"/>
        <w:jc w:val="both"/>
      </w:pPr>
      <w:r>
        <w:t>OŠ Fausta Vrančića,</w:t>
      </w:r>
    </w:p>
    <w:p w14:paraId="20B24C61" w14:textId="01137FA3" w:rsidR="00C2431F" w:rsidRDefault="00000000" w:rsidP="003B2365">
      <w:pPr>
        <w:pStyle w:val="Odlomakpopisa"/>
        <w:numPr>
          <w:ilvl w:val="0"/>
          <w:numId w:val="10"/>
        </w:numPr>
        <w:ind w:left="993" w:hanging="426"/>
        <w:jc w:val="both"/>
      </w:pPr>
      <w:r>
        <w:t xml:space="preserve">OŠ Jurja </w:t>
      </w:r>
      <w:proofErr w:type="spellStart"/>
      <w:r>
        <w:t>Šižgorića</w:t>
      </w:r>
      <w:proofErr w:type="spellEnd"/>
      <w:r>
        <w:t>,</w:t>
      </w:r>
    </w:p>
    <w:p w14:paraId="7328F2C9" w14:textId="767CD0C9" w:rsidR="00C2431F" w:rsidRDefault="00000000" w:rsidP="003B2365">
      <w:pPr>
        <w:pStyle w:val="Odlomakpopisa"/>
        <w:numPr>
          <w:ilvl w:val="0"/>
          <w:numId w:val="10"/>
        </w:numPr>
        <w:ind w:left="993" w:hanging="426"/>
        <w:jc w:val="both"/>
      </w:pPr>
      <w:r>
        <w:t>OŠ Vidici,</w:t>
      </w:r>
    </w:p>
    <w:p w14:paraId="04F70927" w14:textId="02C97932" w:rsidR="00C2431F" w:rsidRDefault="00000000" w:rsidP="003B2365">
      <w:pPr>
        <w:pStyle w:val="Odlomakpopisa"/>
        <w:numPr>
          <w:ilvl w:val="0"/>
          <w:numId w:val="10"/>
        </w:numPr>
        <w:ind w:left="993" w:hanging="426"/>
        <w:jc w:val="both"/>
      </w:pPr>
      <w:r>
        <w:t>OŠ Tina Ujevića,</w:t>
      </w:r>
    </w:p>
    <w:p w14:paraId="1426C1A9" w14:textId="5A67A4D7" w:rsidR="00C2431F" w:rsidRDefault="00000000" w:rsidP="003B2365">
      <w:pPr>
        <w:pStyle w:val="Odlomakpopisa"/>
        <w:numPr>
          <w:ilvl w:val="0"/>
          <w:numId w:val="10"/>
        </w:numPr>
        <w:ind w:left="993" w:hanging="426"/>
        <w:jc w:val="both"/>
      </w:pPr>
      <w:r>
        <w:t>OŠ Vrpolje te</w:t>
      </w:r>
    </w:p>
    <w:p w14:paraId="300F5470" w14:textId="0F367C0B" w:rsidR="000E32CC" w:rsidRDefault="00000000" w:rsidP="003B2365">
      <w:pPr>
        <w:pStyle w:val="Odlomakpopisa"/>
        <w:numPr>
          <w:ilvl w:val="0"/>
          <w:numId w:val="10"/>
        </w:numPr>
        <w:ind w:left="993" w:hanging="426"/>
        <w:jc w:val="both"/>
      </w:pPr>
      <w:r>
        <w:t>OŠ Brodarica.</w:t>
      </w:r>
    </w:p>
    <w:p w14:paraId="4020C1A8" w14:textId="77777777" w:rsidR="003B2365" w:rsidRPr="003B2365" w:rsidRDefault="003B2365" w:rsidP="003B2365">
      <w:pPr>
        <w:pStyle w:val="Odlomakpopisa"/>
        <w:ind w:left="993"/>
        <w:jc w:val="both"/>
        <w:rPr>
          <w:sz w:val="16"/>
          <w:szCs w:val="16"/>
        </w:rPr>
      </w:pPr>
    </w:p>
    <w:p w14:paraId="0D70754C" w14:textId="09DE4BD1" w:rsidR="00C2431F" w:rsidRDefault="00000000" w:rsidP="003B2365">
      <w:pPr>
        <w:spacing w:line="240" w:lineRule="auto"/>
        <w:jc w:val="both"/>
      </w:pPr>
      <w:r>
        <w:t>Bespovratna sredstva osigurana projektom iznose 1.489.900,14 eura, a dijele se u omjeru 15% iz Državnog proračuna Republike Hrvatske te 85% iz Europskog socijalnog fonda.</w:t>
      </w:r>
    </w:p>
    <w:p w14:paraId="2E508E45" w14:textId="77777777" w:rsidR="00C2431F" w:rsidRDefault="00000000" w:rsidP="003B2365">
      <w:pPr>
        <w:spacing w:line="240" w:lineRule="auto"/>
        <w:jc w:val="both"/>
      </w:pPr>
      <w:r>
        <w:lastRenderedPageBreak/>
        <w:t>Ukupni prihodi u visini 142.513,64 eura odnose se u cijelosti na tekuće pomoći iz državnog proračuna temeljem prijenosa EU sredstava (šifra 63811), odnosno doznačena sredstva Ministarstva znanosti, obrazovanja i mladih.</w:t>
      </w:r>
    </w:p>
    <w:p w14:paraId="636EC69B" w14:textId="77777777" w:rsidR="00C2431F" w:rsidRDefault="00000000" w:rsidP="003B2365">
      <w:pPr>
        <w:spacing w:line="240" w:lineRule="auto"/>
        <w:jc w:val="both"/>
      </w:pPr>
      <w:r>
        <w:t>Ukupni rashodi odnose se na rashode poslovanja u visini 535.254,58 eura, a najveći dio u visini 534.439,76 eura ili 99,84% se odnosi na tekuće prijenose između proračunskih korisnika istog proračuna temeljem prijenosa EU sredstava (šifra 3693), odnosno osnovnim školama koje su partneri na projektu.</w:t>
      </w:r>
    </w:p>
    <w:p w14:paraId="2BC60479" w14:textId="77777777" w:rsidR="00C2431F" w:rsidRDefault="00000000" w:rsidP="003B2365">
      <w:pPr>
        <w:spacing w:line="240" w:lineRule="auto"/>
        <w:jc w:val="both"/>
      </w:pPr>
      <w:r>
        <w:t>Potraživanje za tekuće pomoći iz državnog proračuna temeljem prijenosa EU sredstava (šifra 16381) odnosi se na potraživanja po podnesenim i odobrenim ZNS-ovima koji iznose 75.984,90 eura.</w:t>
      </w:r>
    </w:p>
    <w:p w14:paraId="66A65977" w14:textId="77777777" w:rsidR="00C2431F" w:rsidRDefault="00000000" w:rsidP="003B2365">
      <w:pPr>
        <w:spacing w:line="240" w:lineRule="auto"/>
        <w:jc w:val="both"/>
      </w:pPr>
      <w:r>
        <w:t>Obveze za EU predujmove iz državnog proračuna (šifra 27521) iznose 112.486,36 eura i odnose se na potraživanja za predujam od Ministarstva znanosti i obrazovanja za dio koji je sufinanciran iz Europskog socijalnog fonda plus.</w:t>
      </w:r>
    </w:p>
    <w:p w14:paraId="16C31D53" w14:textId="77777777" w:rsidR="00C2431F" w:rsidRDefault="00000000" w:rsidP="003B2365">
      <w:pPr>
        <w:spacing w:line="240" w:lineRule="auto"/>
        <w:jc w:val="both"/>
      </w:pPr>
      <w:r>
        <w:t>Potraživanja po ugovorima o dodijeljenim bespovratnim sredstvima iz EU fondova (šifra 99171) iznose 792.916,58 eura, a odnose se na preostali iznos bespovratnih sredstava po ugovoru o sufinanciranju za projekt Pomoćnici u nastavi 6.</w:t>
      </w:r>
    </w:p>
    <w:p w14:paraId="5648ACA1" w14:textId="77777777" w:rsidR="00C2431F" w:rsidRDefault="00000000" w:rsidP="003B2365">
      <w:pPr>
        <w:spacing w:line="240" w:lineRule="auto"/>
      </w:pPr>
      <w:r>
        <w:t> </w:t>
      </w:r>
    </w:p>
    <w:p w14:paraId="3D136E29" w14:textId="77777777" w:rsidR="00C2431F" w:rsidRDefault="00000000" w:rsidP="003B2365">
      <w:pPr>
        <w:spacing w:line="240" w:lineRule="auto"/>
      </w:pPr>
      <w:r>
        <w:rPr>
          <w:b/>
        </w:rPr>
        <w:t>563 Europski fond za regionalni razvoj</w:t>
      </w:r>
    </w:p>
    <w:p w14:paraId="2D75F449" w14:textId="77777777" w:rsidR="00C2431F" w:rsidRDefault="00000000" w:rsidP="003B2365">
      <w:pPr>
        <w:spacing w:after="0" w:line="240" w:lineRule="auto"/>
        <w:jc w:val="both"/>
      </w:pPr>
      <w:r>
        <w:t>Temeljem sklopljenih ugovora o sufinanciraju iz Europskog fonda za regionalni razvoj ostvareni su ukupni prihodi u visini 96.552,10 eura. Navedeni prihodi odnose se na sljedeće projekte:</w:t>
      </w:r>
    </w:p>
    <w:p w14:paraId="212962BF" w14:textId="51A5FC06" w:rsidR="00C2431F" w:rsidRDefault="00000000" w:rsidP="003B2365">
      <w:pPr>
        <w:pStyle w:val="Odlomakpopisa"/>
        <w:numPr>
          <w:ilvl w:val="0"/>
          <w:numId w:val="10"/>
        </w:numPr>
        <w:ind w:left="709" w:hanging="425"/>
        <w:jc w:val="both"/>
      </w:pPr>
      <w:r>
        <w:t xml:space="preserve">Razvoj i unaprjeđenje sustava vatrogastva na otocima </w:t>
      </w:r>
      <w:proofErr w:type="spellStart"/>
      <w:r>
        <w:t>Kapriju</w:t>
      </w:r>
      <w:proofErr w:type="spellEnd"/>
      <w:r>
        <w:t xml:space="preserve">, Zlarinu i </w:t>
      </w:r>
      <w:proofErr w:type="spellStart"/>
      <w:r>
        <w:t>Žirju</w:t>
      </w:r>
      <w:proofErr w:type="spellEnd"/>
      <w:r>
        <w:t xml:space="preserve"> te</w:t>
      </w:r>
    </w:p>
    <w:p w14:paraId="4BBE0524" w14:textId="724B63CE" w:rsidR="00C2431F" w:rsidRDefault="00000000" w:rsidP="003B2365">
      <w:pPr>
        <w:pStyle w:val="Odlomakpopisa"/>
        <w:numPr>
          <w:ilvl w:val="0"/>
          <w:numId w:val="10"/>
        </w:numPr>
        <w:ind w:left="709" w:hanging="425"/>
        <w:jc w:val="both"/>
      </w:pPr>
      <w:r>
        <w:t>Tehnička pomoć Integriranog teritorijalnog programa 2021. – 2027.</w:t>
      </w:r>
    </w:p>
    <w:p w14:paraId="40FB6F2E" w14:textId="77777777" w:rsidR="000E32CC" w:rsidRPr="003B2365" w:rsidRDefault="000E32CC" w:rsidP="003B2365">
      <w:pPr>
        <w:spacing w:after="0" w:line="240" w:lineRule="auto"/>
        <w:jc w:val="both"/>
        <w:rPr>
          <w:sz w:val="16"/>
          <w:szCs w:val="16"/>
        </w:rPr>
      </w:pPr>
    </w:p>
    <w:p w14:paraId="53D8020E" w14:textId="7B713497" w:rsidR="00C2431F" w:rsidRDefault="00000000" w:rsidP="003B2365">
      <w:pPr>
        <w:spacing w:line="240" w:lineRule="auto"/>
        <w:jc w:val="both"/>
      </w:pPr>
      <w:r>
        <w:t>U strukturi prihoda najveći dio u visini 70.735,48 eura odnosi se na tekuće pomoći iz državnog proračuna temeljem prijenosa EU sredstava (šifra 63811) koji se u potpunosti odnose na doznačena sredstva Ministarstva regionalnog razvoja i fondova EU za projekt Tehničke pomoći Integriranog teritorijalnog programa 2021. - 2027.</w:t>
      </w:r>
    </w:p>
    <w:p w14:paraId="20D3B3F8" w14:textId="77777777" w:rsidR="00C2431F" w:rsidRDefault="00000000" w:rsidP="003B2365">
      <w:pPr>
        <w:spacing w:line="240" w:lineRule="auto"/>
        <w:jc w:val="both"/>
      </w:pPr>
      <w:r>
        <w:t xml:space="preserve">Kapitalne pomoći iz državnog proračuna temeljem prijenosa EU sredstava (šifra 63821) u visini 25.816,62 eura odnose se na doznačna sredstva Ministarstva regionalnog razvoja i fondova EU za projekt Razvoj i unaprjeđenje sustava vatrogastva na otocima </w:t>
      </w:r>
      <w:proofErr w:type="spellStart"/>
      <w:r>
        <w:t>Kapriju</w:t>
      </w:r>
      <w:proofErr w:type="spellEnd"/>
      <w:r>
        <w:t xml:space="preserve">, Zlarinu i </w:t>
      </w:r>
      <w:proofErr w:type="spellStart"/>
      <w:r>
        <w:t>Žirju</w:t>
      </w:r>
      <w:proofErr w:type="spellEnd"/>
      <w:r>
        <w:t>.</w:t>
      </w:r>
    </w:p>
    <w:p w14:paraId="74AC059C" w14:textId="77777777" w:rsidR="00C2431F" w:rsidRDefault="00000000" w:rsidP="003B2365">
      <w:pPr>
        <w:spacing w:line="240" w:lineRule="auto"/>
        <w:jc w:val="both"/>
      </w:pPr>
      <w:r>
        <w:t xml:space="preserve">U izvještajnom razdoblju ostvareni su ukupni rashodi u iznosu 81.069,31 eura. Najveći dio odnosi se na rashode poslovanja (šifra 3) u visini 71.400,56 eura koji se u cijelosti odnose na rashode za provedbu projekta Tehničke pomoći Integriranog teritorijalnog programa 2021. - 2027. Rashodi za nabavu nefinancijske imovine (šifra 4) iznose 9.668,75 eura, a odnose se na troškove izrade glavnog projekta za protupožarne puteve u sklopu projekta Razvoj i unaprjeđenje sustava vatrogastva na otocima </w:t>
      </w:r>
      <w:proofErr w:type="spellStart"/>
      <w:r>
        <w:t>Kapriju</w:t>
      </w:r>
      <w:proofErr w:type="spellEnd"/>
      <w:r>
        <w:t xml:space="preserve">, Zlarinu i </w:t>
      </w:r>
      <w:proofErr w:type="spellStart"/>
      <w:r>
        <w:t>Žirju</w:t>
      </w:r>
      <w:proofErr w:type="spellEnd"/>
      <w:r>
        <w:t>.</w:t>
      </w:r>
    </w:p>
    <w:p w14:paraId="06602DAF" w14:textId="77777777" w:rsidR="00C2431F" w:rsidRDefault="00000000" w:rsidP="003B2365">
      <w:pPr>
        <w:spacing w:after="0" w:line="240" w:lineRule="auto"/>
        <w:jc w:val="both"/>
      </w:pPr>
      <w:r>
        <w:t>Potraživanja po ugovorima o dodijeljenim bespovratnim sredstvima iz EU fondova (šifra 99171) iznose 1.930.039,24 eura te prikazuju preostali iznos bespovratnih sredstava po ugovoru o sufinanciranju za projekte:</w:t>
      </w:r>
    </w:p>
    <w:p w14:paraId="32C5375D" w14:textId="128BA004" w:rsidR="00C2431F" w:rsidRDefault="00000000" w:rsidP="003B2365">
      <w:pPr>
        <w:pStyle w:val="Odlomakpopisa"/>
        <w:numPr>
          <w:ilvl w:val="0"/>
          <w:numId w:val="10"/>
        </w:numPr>
        <w:ind w:left="567"/>
        <w:jc w:val="both"/>
      </w:pPr>
      <w:r>
        <w:t xml:space="preserve">Razvoj i unaprjeđenje sustava vatrogastva na otocima </w:t>
      </w:r>
      <w:proofErr w:type="spellStart"/>
      <w:r>
        <w:t>Kapriju</w:t>
      </w:r>
      <w:proofErr w:type="spellEnd"/>
      <w:r>
        <w:t xml:space="preserve">, Zlarinu i </w:t>
      </w:r>
      <w:proofErr w:type="spellStart"/>
      <w:r>
        <w:t>Žirju</w:t>
      </w:r>
      <w:proofErr w:type="spellEnd"/>
      <w:r>
        <w:t xml:space="preserve"> u visini 1.621.828,70 eura i</w:t>
      </w:r>
    </w:p>
    <w:p w14:paraId="5EEF60CE" w14:textId="6704FC9D" w:rsidR="003B2365" w:rsidRPr="003B2365" w:rsidRDefault="00000000" w:rsidP="003B2365">
      <w:pPr>
        <w:pStyle w:val="Odlomakpopisa"/>
        <w:numPr>
          <w:ilvl w:val="0"/>
          <w:numId w:val="10"/>
        </w:numPr>
        <w:ind w:left="567"/>
        <w:jc w:val="both"/>
      </w:pPr>
      <w:r>
        <w:t>Tehničke pomoći Integriranog teritorijalnog programa 2021. - 2027. u visini 308.210,54 eura.</w:t>
      </w:r>
    </w:p>
    <w:p w14:paraId="6E3A1382" w14:textId="2AC19149" w:rsidR="00C2431F" w:rsidRDefault="00000000" w:rsidP="003B2365">
      <w:pPr>
        <w:spacing w:after="0" w:line="240" w:lineRule="auto"/>
        <w:jc w:val="both"/>
      </w:pPr>
      <w:r>
        <w:lastRenderedPageBreak/>
        <w:t xml:space="preserve">Preuzete obveze po ugovorima o dodjeli bespovratnih sredstava iz EU fondova (šifra 99653) iznose 854.839,92 eura, a odnose se na obveze prema partnerima na projektu Razvoj i unaprjeđenje sustava vatrogastva na otocima </w:t>
      </w:r>
      <w:proofErr w:type="spellStart"/>
      <w:r>
        <w:t>Kapriju</w:t>
      </w:r>
      <w:proofErr w:type="spellEnd"/>
      <w:r>
        <w:t xml:space="preserve">, Zlarinu i </w:t>
      </w:r>
      <w:proofErr w:type="spellStart"/>
      <w:r>
        <w:t>Žirju</w:t>
      </w:r>
      <w:proofErr w:type="spellEnd"/>
      <w:r>
        <w:t xml:space="preserve"> sukladno sporazumu o provedbi projekta s partnerima:</w:t>
      </w:r>
    </w:p>
    <w:p w14:paraId="450B5A1D" w14:textId="40E014B7" w:rsidR="00C2431F" w:rsidRDefault="00000000" w:rsidP="003B2365">
      <w:pPr>
        <w:pStyle w:val="Odlomakpopisa"/>
        <w:numPr>
          <w:ilvl w:val="0"/>
          <w:numId w:val="10"/>
        </w:numPr>
        <w:ind w:left="284" w:firstLine="0"/>
        <w:jc w:val="both"/>
      </w:pPr>
      <w:r>
        <w:t>Vatrogasna zajednica grada Šibenika u iznosu 5.156,09 eura,</w:t>
      </w:r>
    </w:p>
    <w:p w14:paraId="5F8CD5FD" w14:textId="388E4B11" w:rsidR="00C2431F" w:rsidRDefault="00000000" w:rsidP="003B2365">
      <w:pPr>
        <w:pStyle w:val="Odlomakpopisa"/>
        <w:numPr>
          <w:ilvl w:val="0"/>
          <w:numId w:val="10"/>
        </w:numPr>
        <w:ind w:left="284" w:firstLine="0"/>
        <w:jc w:val="both"/>
      </w:pPr>
      <w:r>
        <w:t xml:space="preserve">DVD </w:t>
      </w:r>
      <w:proofErr w:type="spellStart"/>
      <w:r>
        <w:t>Žirje</w:t>
      </w:r>
      <w:proofErr w:type="spellEnd"/>
      <w:r>
        <w:t xml:space="preserve"> u iznosu 579.987,34 eura te</w:t>
      </w:r>
    </w:p>
    <w:p w14:paraId="38FA2161" w14:textId="678E4920" w:rsidR="00C2431F" w:rsidRDefault="00000000" w:rsidP="000E32CC">
      <w:pPr>
        <w:pStyle w:val="Odlomakpopisa"/>
        <w:numPr>
          <w:ilvl w:val="0"/>
          <w:numId w:val="10"/>
        </w:numPr>
        <w:ind w:left="284" w:firstLine="0"/>
        <w:jc w:val="both"/>
      </w:pPr>
      <w:r>
        <w:t>DVD Zlarin u iznosu 269.696,49 eura.</w:t>
      </w:r>
    </w:p>
    <w:p w14:paraId="6EDF513D" w14:textId="77777777" w:rsidR="00C2431F" w:rsidRDefault="00000000">
      <w:r>
        <w:t> </w:t>
      </w:r>
    </w:p>
    <w:p w14:paraId="083C8A8C" w14:textId="77777777" w:rsidR="00C2431F" w:rsidRDefault="00000000">
      <w:r>
        <w:rPr>
          <w:b/>
        </w:rPr>
        <w:t>565 Europski poljoprivredni fond za ruralni razvoj</w:t>
      </w:r>
    </w:p>
    <w:p w14:paraId="159BDA3B" w14:textId="77777777" w:rsidR="00C2431F" w:rsidRDefault="00000000" w:rsidP="003B2365">
      <w:pPr>
        <w:spacing w:line="240" w:lineRule="auto"/>
        <w:jc w:val="both"/>
      </w:pPr>
      <w:r>
        <w:t xml:space="preserve">Prihodi iz Europskog poljoprivrednog fonda za ruralni razvoj u visini 28.206,22 eura u cijelosti se odnose na kapitalne pomoći iz državnog proračuna temeljem prijenosa EU sredstava (šifra 63821). Ista se odnose na sredstva Agencije za plaćanja u poljoprivredi, ribarstvu i ruralnom razvoju temeljem Odluke o dodijeli bespovratnih sredstava za projekt uređenja Trga u </w:t>
      </w:r>
      <w:proofErr w:type="spellStart"/>
      <w:r>
        <w:t>Raslini</w:t>
      </w:r>
      <w:proofErr w:type="spellEnd"/>
      <w:r>
        <w:t>.</w:t>
      </w:r>
    </w:p>
    <w:p w14:paraId="170FB3D9" w14:textId="77777777" w:rsidR="00C2431F" w:rsidRDefault="00000000" w:rsidP="003B2365">
      <w:pPr>
        <w:spacing w:line="240" w:lineRule="auto"/>
      </w:pPr>
      <w:r>
        <w:t> </w:t>
      </w:r>
    </w:p>
    <w:p w14:paraId="507337F7" w14:textId="77777777" w:rsidR="00C2431F" w:rsidRDefault="00000000" w:rsidP="003B2365">
      <w:pPr>
        <w:spacing w:line="240" w:lineRule="auto"/>
      </w:pPr>
      <w:r>
        <w:rPr>
          <w:b/>
        </w:rPr>
        <w:t>581 Mehanizam za oporavak i otpornost – bespovratna sredstava</w:t>
      </w:r>
    </w:p>
    <w:p w14:paraId="6F36D80B" w14:textId="77777777" w:rsidR="00C2431F" w:rsidRDefault="00000000" w:rsidP="003B2365">
      <w:pPr>
        <w:spacing w:after="0" w:line="240" w:lineRule="auto"/>
        <w:jc w:val="both"/>
      </w:pPr>
      <w:r>
        <w:t>U izvještajnom razdoblju iz Mehanizma za oporavak i otpornost ostvareni su ukupni prihodi poslovanja u visini 1.466.094,30 eura koji se u cijelosti odnose na kapitalne pomoći iz državnog proračuna temeljem prijenosa EU sredstava (šifra 63821). Navedeni prihodi odnose se na doznačena sredstva:</w:t>
      </w:r>
    </w:p>
    <w:p w14:paraId="260B0B9E" w14:textId="6D7D6659" w:rsidR="00C2431F" w:rsidRDefault="00000000" w:rsidP="003B2365">
      <w:pPr>
        <w:pStyle w:val="Odlomakpopisa"/>
        <w:numPr>
          <w:ilvl w:val="0"/>
          <w:numId w:val="10"/>
        </w:numPr>
        <w:ind w:left="709"/>
        <w:jc w:val="both"/>
      </w:pPr>
      <w:r>
        <w:t>Ministarstva prostornog uređenja i graditeljstva za projekt Energetske obnova Osnovne škole Petra Krešimira IV u visini 1.142.788,87 eura te</w:t>
      </w:r>
    </w:p>
    <w:p w14:paraId="10C97C5A" w14:textId="62C8A33B" w:rsidR="00C2431F" w:rsidRDefault="00000000" w:rsidP="003B2365">
      <w:pPr>
        <w:pStyle w:val="Odlomakpopisa"/>
        <w:numPr>
          <w:ilvl w:val="0"/>
          <w:numId w:val="10"/>
        </w:numPr>
        <w:ind w:left="709"/>
        <w:jc w:val="both"/>
      </w:pPr>
      <w:r>
        <w:t xml:space="preserve">Ministarstva znanosti, obrazovanja i mladih za projekt Povećanje kapaciteta Dječjeg vrtića Šibenski </w:t>
      </w:r>
      <w:proofErr w:type="spellStart"/>
      <w:r>
        <w:t>tići</w:t>
      </w:r>
      <w:proofErr w:type="spellEnd"/>
      <w:r>
        <w:t xml:space="preserve"> u visini 323.305,43 eura.</w:t>
      </w:r>
    </w:p>
    <w:p w14:paraId="4647674F" w14:textId="77777777" w:rsidR="003B2365" w:rsidRPr="003B2365" w:rsidRDefault="003B2365" w:rsidP="003B2365">
      <w:pPr>
        <w:spacing w:after="0" w:line="240" w:lineRule="auto"/>
        <w:jc w:val="both"/>
        <w:rPr>
          <w:sz w:val="16"/>
          <w:szCs w:val="16"/>
        </w:rPr>
      </w:pPr>
    </w:p>
    <w:p w14:paraId="1CB434E8" w14:textId="5C29AFBA" w:rsidR="00C2431F" w:rsidRDefault="00000000" w:rsidP="003B2365">
      <w:pPr>
        <w:spacing w:after="0" w:line="240" w:lineRule="auto"/>
        <w:jc w:val="both"/>
      </w:pPr>
      <w:r>
        <w:t>U izvještajnom razdoblju ostvareni su ukupni rashodi u iznosu 2.219.583,43 eura. U strukturi ukupnih rashoda najveći dio odnosi se na rashode za nabavu nefinancijske imovine (šifra 4) u visini 2.217.369,43 eura za radove na:</w:t>
      </w:r>
    </w:p>
    <w:p w14:paraId="485E6233" w14:textId="5E3ED8C8" w:rsidR="00C2431F" w:rsidRDefault="00000000" w:rsidP="003B2365">
      <w:pPr>
        <w:pStyle w:val="Odlomakpopisa"/>
        <w:numPr>
          <w:ilvl w:val="0"/>
          <w:numId w:val="10"/>
        </w:numPr>
        <w:ind w:left="709"/>
        <w:jc w:val="both"/>
      </w:pPr>
      <w:r>
        <w:t>energetskoj obnovi Osnovne škole Petra Krešimira IV u visini 1.894.064,00 eura te</w:t>
      </w:r>
    </w:p>
    <w:p w14:paraId="67EA2806" w14:textId="6B3B49D3" w:rsidR="00C2431F" w:rsidRDefault="00000000" w:rsidP="003B2365">
      <w:pPr>
        <w:pStyle w:val="Odlomakpopisa"/>
        <w:numPr>
          <w:ilvl w:val="0"/>
          <w:numId w:val="10"/>
        </w:numPr>
        <w:ind w:left="709"/>
        <w:jc w:val="both"/>
      </w:pPr>
      <w:r>
        <w:t xml:space="preserve">povećanju kapaciteta Dječjeg vrtića Šibenski </w:t>
      </w:r>
      <w:proofErr w:type="spellStart"/>
      <w:r>
        <w:t>tići</w:t>
      </w:r>
      <w:proofErr w:type="spellEnd"/>
      <w:r>
        <w:t xml:space="preserve"> u visini 323.305,43 eura.</w:t>
      </w:r>
    </w:p>
    <w:p w14:paraId="18CD2383" w14:textId="77777777" w:rsidR="003B2365" w:rsidRPr="003B2365" w:rsidRDefault="003B2365" w:rsidP="003B2365">
      <w:pPr>
        <w:spacing w:after="0" w:line="240" w:lineRule="auto"/>
        <w:jc w:val="both"/>
        <w:rPr>
          <w:sz w:val="16"/>
          <w:szCs w:val="16"/>
        </w:rPr>
      </w:pPr>
    </w:p>
    <w:p w14:paraId="1D0E64CB" w14:textId="4393D131" w:rsidR="00C2431F" w:rsidRDefault="00000000" w:rsidP="003B2365">
      <w:pPr>
        <w:spacing w:after="0" w:line="240" w:lineRule="auto"/>
        <w:jc w:val="both"/>
      </w:pPr>
      <w:r>
        <w:t>Potraživanja za kapitalne pomoći iz državnog proračuna temeljem prijenosa EU sredstava (šifra 16382) u visini 75.894,00 eura odnose se na potraživanje po podnesenim i odobrenim ZNS-ovima za potrebe projekta Energetska obnova Osnovne škole Petra Krešimira IV.</w:t>
      </w:r>
    </w:p>
    <w:p w14:paraId="713848AC" w14:textId="77777777" w:rsidR="003B2365" w:rsidRPr="003B2365" w:rsidRDefault="003B2365" w:rsidP="003B2365">
      <w:pPr>
        <w:spacing w:after="0" w:line="240" w:lineRule="auto"/>
        <w:jc w:val="both"/>
        <w:rPr>
          <w:sz w:val="16"/>
          <w:szCs w:val="16"/>
        </w:rPr>
      </w:pPr>
    </w:p>
    <w:p w14:paraId="4C3D87D4" w14:textId="24DDEF76" w:rsidR="00C2431F" w:rsidRDefault="00000000" w:rsidP="003B2365">
      <w:pPr>
        <w:spacing w:after="0" w:line="240" w:lineRule="auto"/>
        <w:jc w:val="both"/>
      </w:pPr>
      <w:r>
        <w:t>Potraživanja po ugovorima o dodijeljenim bespovratnim sredstvima iz EU fondova (šifra 99171) iznose 16.782.593,28 eura te prikazuju preostali iznos bespovratnih sredstava po ugovoru o sufinanciranju za projekte:</w:t>
      </w:r>
    </w:p>
    <w:p w14:paraId="6F909FD0" w14:textId="0AA9CBE7" w:rsidR="00C2431F" w:rsidRDefault="00000000" w:rsidP="003B2365">
      <w:pPr>
        <w:pStyle w:val="Odlomakpopisa"/>
        <w:numPr>
          <w:ilvl w:val="0"/>
          <w:numId w:val="10"/>
        </w:numPr>
        <w:tabs>
          <w:tab w:val="left" w:pos="851"/>
        </w:tabs>
        <w:ind w:left="851" w:hanging="425"/>
        <w:jc w:val="both"/>
      </w:pPr>
      <w:r>
        <w:t>Energetska obnova Osnovne škole Petra Krešimira IV u visini 10.200,60 eura,</w:t>
      </w:r>
    </w:p>
    <w:p w14:paraId="1A4FD990" w14:textId="04044EBE" w:rsidR="00C2431F" w:rsidRDefault="00000000" w:rsidP="003B2365">
      <w:pPr>
        <w:pStyle w:val="Odlomakpopisa"/>
        <w:numPr>
          <w:ilvl w:val="0"/>
          <w:numId w:val="10"/>
        </w:numPr>
        <w:tabs>
          <w:tab w:val="left" w:pos="851"/>
        </w:tabs>
        <w:ind w:left="851" w:hanging="425"/>
        <w:jc w:val="both"/>
      </w:pPr>
      <w:r>
        <w:t>Sanacija plohe 1 - zatvorenog dijela odlagališta neopasnog otpada "</w:t>
      </w:r>
      <w:proofErr w:type="spellStart"/>
      <w:r>
        <w:t>Bikarac</w:t>
      </w:r>
      <w:proofErr w:type="spellEnd"/>
      <w:r>
        <w:t>" u visini 3.930.884,84 eura,</w:t>
      </w:r>
    </w:p>
    <w:p w14:paraId="045A2B7A" w14:textId="4364D668" w:rsidR="00C2431F" w:rsidRDefault="00000000" w:rsidP="003B2365">
      <w:pPr>
        <w:pStyle w:val="Odlomakpopisa"/>
        <w:numPr>
          <w:ilvl w:val="0"/>
          <w:numId w:val="10"/>
        </w:numPr>
        <w:tabs>
          <w:tab w:val="left" w:pos="851"/>
        </w:tabs>
        <w:ind w:left="851" w:hanging="425"/>
        <w:jc w:val="both"/>
      </w:pPr>
      <w:r>
        <w:t>Rekonstrukcija Osnovne škole Brodarica u visini 4.124.142,22 eura,</w:t>
      </w:r>
    </w:p>
    <w:p w14:paraId="1242A9B6" w14:textId="1EEB71C9" w:rsidR="00C2431F" w:rsidRDefault="00000000" w:rsidP="003B2365">
      <w:pPr>
        <w:pStyle w:val="Odlomakpopisa"/>
        <w:numPr>
          <w:ilvl w:val="0"/>
          <w:numId w:val="10"/>
        </w:numPr>
        <w:tabs>
          <w:tab w:val="left" w:pos="851"/>
        </w:tabs>
        <w:ind w:left="851" w:hanging="425"/>
        <w:jc w:val="both"/>
      </w:pPr>
      <w:r>
        <w:t>Rekonstrukcija Osnovne škole Jurja Dalmatinca u visini 2.179.884,18 eura te</w:t>
      </w:r>
    </w:p>
    <w:p w14:paraId="22755C0C" w14:textId="2A0C2AF8" w:rsidR="00C2431F" w:rsidRDefault="00000000" w:rsidP="003B2365">
      <w:pPr>
        <w:pStyle w:val="Odlomakpopisa"/>
        <w:numPr>
          <w:ilvl w:val="0"/>
          <w:numId w:val="10"/>
        </w:numPr>
        <w:tabs>
          <w:tab w:val="left" w:pos="851"/>
        </w:tabs>
        <w:ind w:left="851" w:hanging="425"/>
        <w:jc w:val="both"/>
      </w:pPr>
      <w:r>
        <w:t>Izgradnja Osnovne škole Vrpolje i školske sportske dvorane u visini 6.537.481,44 eura.</w:t>
      </w:r>
    </w:p>
    <w:p w14:paraId="0B59034B" w14:textId="77777777" w:rsidR="00C2431F" w:rsidRDefault="00C2431F" w:rsidP="003B2365">
      <w:pPr>
        <w:spacing w:line="240" w:lineRule="auto"/>
      </w:pPr>
    </w:p>
    <w:p w14:paraId="2730B19C" w14:textId="77777777" w:rsidR="001F5A9F" w:rsidRDefault="001F5A9F" w:rsidP="003B2365">
      <w:pPr>
        <w:spacing w:line="240" w:lineRule="auto"/>
      </w:pPr>
    </w:p>
    <w:p w14:paraId="1CE7B41F" w14:textId="77777777" w:rsidR="001F5A9F" w:rsidRDefault="001F5A9F" w:rsidP="003B2365">
      <w:pPr>
        <w:spacing w:line="240" w:lineRule="auto"/>
      </w:pPr>
    </w:p>
    <w:p w14:paraId="2D1D36AF" w14:textId="77777777" w:rsidR="001F5A9F" w:rsidRDefault="001F5A9F" w:rsidP="003B2365">
      <w:pPr>
        <w:spacing w:line="240" w:lineRule="auto"/>
        <w:sectPr w:rsidR="001F5A9F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4165" w:type="dxa"/>
        <w:tblLayout w:type="fixed"/>
        <w:tblLook w:val="04A0" w:firstRow="1" w:lastRow="0" w:firstColumn="1" w:lastColumn="0" w:noHBand="0" w:noVBand="1"/>
      </w:tblPr>
      <w:tblGrid>
        <w:gridCol w:w="1550"/>
        <w:gridCol w:w="1733"/>
        <w:gridCol w:w="1627"/>
        <w:gridCol w:w="1428"/>
        <w:gridCol w:w="2299"/>
        <w:gridCol w:w="2693"/>
        <w:gridCol w:w="1418"/>
        <w:gridCol w:w="1417"/>
      </w:tblGrid>
      <w:tr w:rsidR="001F5A9F" w:rsidRPr="00146FF0" w14:paraId="0BCE799C" w14:textId="77777777" w:rsidTr="00FF05C4">
        <w:trPr>
          <w:trHeight w:val="330"/>
          <w:tblHeader/>
        </w:trPr>
        <w:tc>
          <w:tcPr>
            <w:tcW w:w="1416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14:paraId="54C7B097" w14:textId="77777777" w:rsidR="001F5A9F" w:rsidRPr="00146FF0" w:rsidRDefault="001F5A9F" w:rsidP="00FF05C4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146FF0">
              <w:rPr>
                <w:b/>
                <w:bCs/>
                <w:color w:val="000000"/>
              </w:rPr>
              <w:lastRenderedPageBreak/>
              <w:t>POPIS UGOVORNIH ODNOSA - DANI INSTRUMENTI OSIGURANJA</w:t>
            </w:r>
          </w:p>
        </w:tc>
      </w:tr>
      <w:tr w:rsidR="001F5A9F" w:rsidRPr="00146FF0" w14:paraId="1E46F012" w14:textId="77777777" w:rsidTr="00FF05C4">
        <w:trPr>
          <w:trHeight w:val="52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9F7" w:themeFill="text2" w:themeFillTint="1A"/>
            <w:noWrap/>
            <w:vAlign w:val="center"/>
            <w:hideMark/>
          </w:tcPr>
          <w:p w14:paraId="0B1C069B" w14:textId="77777777" w:rsidR="001F5A9F" w:rsidRPr="00146FF0" w:rsidRDefault="001F5A9F" w:rsidP="00FF05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146FF0">
              <w:rPr>
                <w:b/>
                <w:bCs/>
                <w:color w:val="000000"/>
                <w:sz w:val="20"/>
              </w:rPr>
              <w:t>Datum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9F7" w:themeFill="text2" w:themeFillTint="1A"/>
            <w:vAlign w:val="center"/>
            <w:hideMark/>
          </w:tcPr>
          <w:p w14:paraId="4D360CE0" w14:textId="77777777" w:rsidR="001F5A9F" w:rsidRPr="00146FF0" w:rsidRDefault="001F5A9F" w:rsidP="00FF05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146FF0">
              <w:rPr>
                <w:b/>
                <w:bCs/>
                <w:color w:val="000000"/>
                <w:sz w:val="20"/>
              </w:rPr>
              <w:t>Instrument osiguranja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9F7" w:themeFill="text2" w:themeFillTint="1A"/>
            <w:vAlign w:val="center"/>
            <w:hideMark/>
          </w:tcPr>
          <w:p w14:paraId="2D98B96E" w14:textId="77777777" w:rsidR="001F5A9F" w:rsidRPr="00146FF0" w:rsidRDefault="001F5A9F" w:rsidP="00FF05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146FF0">
              <w:rPr>
                <w:b/>
                <w:bCs/>
                <w:color w:val="000000"/>
                <w:sz w:val="20"/>
              </w:rPr>
              <w:t>Iznos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9F7" w:themeFill="text2" w:themeFillTint="1A"/>
            <w:vAlign w:val="center"/>
            <w:hideMark/>
          </w:tcPr>
          <w:p w14:paraId="570E7272" w14:textId="77777777" w:rsidR="001F5A9F" w:rsidRPr="00146FF0" w:rsidRDefault="001F5A9F" w:rsidP="00FF05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146FF0">
              <w:rPr>
                <w:b/>
                <w:bCs/>
                <w:color w:val="000000"/>
                <w:sz w:val="20"/>
              </w:rPr>
              <w:t>Primatelj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9F7" w:themeFill="text2" w:themeFillTint="1A"/>
            <w:vAlign w:val="center"/>
            <w:hideMark/>
          </w:tcPr>
          <w:p w14:paraId="6049762C" w14:textId="77777777" w:rsidR="001F5A9F" w:rsidRPr="00146FF0" w:rsidRDefault="001F5A9F" w:rsidP="00FF05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146FF0">
              <w:rPr>
                <w:b/>
                <w:bCs/>
                <w:color w:val="000000"/>
                <w:sz w:val="20"/>
              </w:rPr>
              <w:t>Namjena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9F7" w:themeFill="text2" w:themeFillTint="1A"/>
            <w:vAlign w:val="center"/>
            <w:hideMark/>
          </w:tcPr>
          <w:p w14:paraId="7D47725D" w14:textId="77777777" w:rsidR="001F5A9F" w:rsidRPr="00146FF0" w:rsidRDefault="001F5A9F" w:rsidP="00FF05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146FF0">
              <w:rPr>
                <w:b/>
                <w:bCs/>
                <w:color w:val="000000"/>
                <w:sz w:val="20"/>
              </w:rPr>
              <w:t>Ugovor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9F7" w:themeFill="text2" w:themeFillTint="1A"/>
            <w:vAlign w:val="center"/>
            <w:hideMark/>
          </w:tcPr>
          <w:p w14:paraId="38FB47B5" w14:textId="77777777" w:rsidR="001F5A9F" w:rsidRPr="00146FF0" w:rsidRDefault="001F5A9F" w:rsidP="00FF05C4">
            <w:pPr>
              <w:spacing w:after="0" w:line="240" w:lineRule="auto"/>
              <w:rPr>
                <w:b/>
                <w:bCs/>
                <w:color w:val="000000"/>
                <w:sz w:val="20"/>
              </w:rPr>
            </w:pPr>
            <w:r w:rsidRPr="00146FF0">
              <w:rPr>
                <w:b/>
                <w:bCs/>
                <w:color w:val="000000"/>
                <w:sz w:val="20"/>
              </w:rPr>
              <w:t>Rok važenja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AE9F7" w:themeFill="text2" w:themeFillTint="1A"/>
            <w:vAlign w:val="center"/>
            <w:hideMark/>
          </w:tcPr>
          <w:p w14:paraId="1AFAB037" w14:textId="77777777" w:rsidR="001F5A9F" w:rsidRPr="00146FF0" w:rsidRDefault="001F5A9F" w:rsidP="00FF05C4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</w:rPr>
            </w:pPr>
            <w:r w:rsidRPr="00146FF0">
              <w:rPr>
                <w:b/>
                <w:bCs/>
                <w:color w:val="000000"/>
                <w:sz w:val="20"/>
              </w:rPr>
              <w:t>Napomena</w:t>
            </w:r>
          </w:p>
        </w:tc>
      </w:tr>
      <w:tr w:rsidR="001F5A9F" w:rsidRPr="00146FF0" w14:paraId="7A31E66A" w14:textId="77777777" w:rsidTr="00FF05C4">
        <w:trPr>
          <w:trHeight w:val="129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749DF6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06. 07. 2016. 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C9B6A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43226D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2.847.011,91 €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8C7F3F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financija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FA70F4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Izgradnja Regionalnog centra za gospodarenje otpadom </w:t>
            </w:r>
            <w:proofErr w:type="spellStart"/>
            <w:r w:rsidRPr="00146FF0">
              <w:rPr>
                <w:color w:val="000000"/>
                <w:sz w:val="20"/>
              </w:rPr>
              <w:t>Bikarac</w:t>
            </w:r>
            <w:proofErr w:type="spellEnd"/>
            <w:r w:rsidRPr="00146FF0">
              <w:rPr>
                <w:color w:val="000000"/>
                <w:sz w:val="20"/>
              </w:rPr>
              <w:t xml:space="preserve"> faza II.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CBE4AE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zajmu (KLASA:910-01/16-01/40,</w:t>
            </w:r>
            <w:r>
              <w:rPr>
                <w:color w:val="000000"/>
                <w:sz w:val="20"/>
              </w:rPr>
              <w:t xml:space="preserve"> </w:t>
            </w:r>
            <w:r w:rsidRPr="00146FF0">
              <w:rPr>
                <w:color w:val="000000"/>
                <w:sz w:val="20"/>
              </w:rPr>
              <w:t>URBROJ:2182/01-06-16-2)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10CF36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30.06.2041.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EA28F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Do povrata zajma</w:t>
            </w:r>
          </w:p>
        </w:tc>
      </w:tr>
      <w:tr w:rsidR="001F5A9F" w:rsidRPr="00146FF0" w14:paraId="68D7D71D" w14:textId="77777777" w:rsidTr="00FF05C4">
        <w:trPr>
          <w:trHeight w:val="154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615F2D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31. 08.2018.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8D2621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FC7F3A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278.717,90 €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A9B999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Fond za zaštitu okoliša i energetsku učinkovitost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420125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Nabava spremnika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32A4C2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br.2018/001554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E788C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16.01.2027.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77467C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Očekivano vrijeme distribucije opreme siječanj,2021.</w:t>
            </w:r>
          </w:p>
        </w:tc>
      </w:tr>
      <w:tr w:rsidR="001F5A9F" w:rsidRPr="00146FF0" w14:paraId="749356C7" w14:textId="77777777" w:rsidTr="00FF05C4">
        <w:trPr>
          <w:trHeight w:val="129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646C1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04.02.2019.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93B887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1AC46C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13.272,28 €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EE319B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F2075C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Projekt </w:t>
            </w:r>
            <w:proofErr w:type="spellStart"/>
            <w:r w:rsidRPr="00146FF0">
              <w:rPr>
                <w:color w:val="000000"/>
                <w:sz w:val="20"/>
              </w:rPr>
              <w:t>Step-up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113E85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dodjeli sredstava Fonda za sufinanciranje provedbe EU projekata br.JPF.2018.-4.236.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9855F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16.02.2029.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2618D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16D94906" w14:textId="77777777" w:rsidTr="00FF05C4">
        <w:trPr>
          <w:trHeight w:val="78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3750182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15. 11. 2020.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C7C3C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AD695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3.649.877,23 €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AE876B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HPB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8DEDDC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Dugoročni kredit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EAF089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dugoročnom kreditu broj 133/2020-DPVPJS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1A628E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29.12.2034.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43B08F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3DFBF778" w14:textId="77777777" w:rsidTr="00FF05C4">
        <w:trPr>
          <w:trHeight w:val="246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D3345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02.09.2022.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8A9F54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0F312E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132.722,81 €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DE9F7A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990F7E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projekt Rastem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F43E7F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Ugovor o dodjeli bespovratnih sredstava za projekt koji se financira iz Financijskog mehanizma Europskog gospodarskog prostora za razdoblje od 2014. do 2021.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0E734A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30.04.2025.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69C01D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43608B2A" w14:textId="77777777" w:rsidTr="00FF05C4">
        <w:trPr>
          <w:trHeight w:val="244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5195C2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lastRenderedPageBreak/>
              <w:t>02.09.2022.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EADAD1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D94544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13.272,28 €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43042A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03B48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projekt Rastem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30DA69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Ugovor o dodjeli bespovratnih sredstava za projekt koji se financira iz Financijskog mehanizma Europskog gospodarskog prostora za razdoblje od 2014. do 2021.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37B94C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30.04.2025.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CC7991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6A776C96" w14:textId="77777777" w:rsidTr="00FF05C4">
        <w:trPr>
          <w:trHeight w:val="219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C79BC7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02.09.2022.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B0131C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D9EFA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132.722,81 €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CB3194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739F426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projekt Rastem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58398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Ugovor o dodjeli bespovratnih sredstava za projekt koji se financira iz Financijskog mehanizma Europskog gospodarskog prostora za razdoblje od 2014. do 2021.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A40D8C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30.04.2025.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4A85FFE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6C775027" w14:textId="77777777" w:rsidTr="00FF05C4">
        <w:trPr>
          <w:trHeight w:val="241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28DA41E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02.09.2022.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DDBC69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91D3BF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132.722,81 €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7541CB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169E8E1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projekt Rastem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17DB4D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Ugovor o dodjeli bespovratnih sredstava za projekt koji se financira iz Financijskog mehanizma Europskog gospodarskog prostora za razdoblje od 2014. do 2021.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944F176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30.04.2025.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4F0298F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18757D8D" w14:textId="77777777" w:rsidTr="00FF05C4">
        <w:trPr>
          <w:trHeight w:val="130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4AD60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06.07.2023.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011605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6B68AFF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61.000,00 €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FF0F9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B04C04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Sanacija šetnice na otoku Zlarinu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0507F9D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financiranju                              broj: 08-FI-E-0124/23-15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3C897F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26.04.2025.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73905A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619895D4" w14:textId="77777777" w:rsidTr="00FF05C4">
        <w:trPr>
          <w:trHeight w:val="171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5E4E2E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lastRenderedPageBreak/>
              <w:t>06.07.2023.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EA314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70258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76.000,00 €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5BF47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BD9BCC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Izgradnja i uređenje dječjeg igrališta i boćališta na otoku </w:t>
            </w:r>
            <w:proofErr w:type="spellStart"/>
            <w:r w:rsidRPr="00146FF0">
              <w:rPr>
                <w:color w:val="000000"/>
                <w:sz w:val="20"/>
              </w:rPr>
              <w:t>Žirju</w:t>
            </w:r>
            <w:proofErr w:type="spellEnd"/>
            <w:r w:rsidRPr="00146FF0">
              <w:rPr>
                <w:color w:val="000000"/>
                <w:sz w:val="20"/>
              </w:rPr>
              <w:t>, II. faza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0EA78A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Ugovor o financiranju broj: 08-FI-DI-0064/23-15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3E4F7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26.04.2025.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7A9AFD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3516D0E7" w14:textId="77777777" w:rsidTr="00FF05C4">
        <w:trPr>
          <w:trHeight w:val="78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B8CF84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06.07.2023.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FDCB34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6951F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56.000,00 €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A8D41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89E19D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Sanacija sportskog igrališta na otoku </w:t>
            </w:r>
            <w:proofErr w:type="spellStart"/>
            <w:r w:rsidRPr="00146FF0">
              <w:rPr>
                <w:color w:val="000000"/>
                <w:sz w:val="20"/>
              </w:rPr>
              <w:t>Krapnju</w:t>
            </w:r>
            <w:proofErr w:type="spellEnd"/>
            <w:r w:rsidRPr="00146FF0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A10632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financiranju broj: 08-FI-DI-0107/23-15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7794EA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26.04.2025.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98AC4D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75CDFE69" w14:textId="77777777" w:rsidTr="00FF05C4">
        <w:trPr>
          <w:trHeight w:val="78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58F9F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06.07.2023.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7A86F2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97C24F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61.000,00 €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064D14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C7E62F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Izgradnja šetnice na otoku </w:t>
            </w:r>
            <w:proofErr w:type="spellStart"/>
            <w:r w:rsidRPr="00146FF0">
              <w:rPr>
                <w:color w:val="000000"/>
                <w:sz w:val="20"/>
              </w:rPr>
              <w:t>Kapriju</w:t>
            </w:r>
            <w:proofErr w:type="spellEnd"/>
            <w:r w:rsidRPr="00146FF0">
              <w:rPr>
                <w:color w:val="000000"/>
                <w:sz w:val="20"/>
              </w:rPr>
              <w:t xml:space="preserve">, I. faza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D684D2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financiranju                                         broj: 08-FI-E-0116/23-15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B24DEC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26.04.2025.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642436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381E0224" w14:textId="77777777" w:rsidTr="00FF05C4">
        <w:trPr>
          <w:trHeight w:val="78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A5F754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19.04.2024.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0E5504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E04BE6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67.500,00 €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3CCA16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58C701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Uređenje šetnice na otoku </w:t>
            </w:r>
            <w:proofErr w:type="spellStart"/>
            <w:r w:rsidRPr="00146FF0">
              <w:rPr>
                <w:color w:val="000000"/>
                <w:sz w:val="20"/>
              </w:rPr>
              <w:t>Kapriju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4D7625A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financiranju                                         broj: 08-FI-E-0630/24-15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E5139B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31.05.2025.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02DCCFE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49E633A4" w14:textId="77777777" w:rsidTr="00FF05C4">
        <w:trPr>
          <w:trHeight w:val="78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244FF0F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19.04.2024.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F9D67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A4676C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67.400,00 €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2060D1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2F0FCF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Sanacija šetnice na otoku Zlarinu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97E68E4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financiranju                                         broj: 08-FI-E-0604/24-15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8AD3DC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31.05.2025.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EE8161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7CECE785" w14:textId="77777777" w:rsidTr="00FF05C4">
        <w:trPr>
          <w:trHeight w:val="103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57E66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19.04.2024.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2EF6BB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BC1A55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42.500,00 €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B03C6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DC950E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Završni radovi na uređenju dječjeg igrališta i boćališta na </w:t>
            </w:r>
            <w:proofErr w:type="spellStart"/>
            <w:r w:rsidRPr="00146FF0">
              <w:rPr>
                <w:color w:val="000000"/>
                <w:sz w:val="20"/>
              </w:rPr>
              <w:t>Žirju</w:t>
            </w:r>
            <w:proofErr w:type="spellEnd"/>
            <w:r w:rsidRPr="00146FF0">
              <w:rPr>
                <w:color w:val="000000"/>
                <w:sz w:val="20"/>
              </w:rPr>
              <w:t>, 3. faza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24EF08F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financiranju                                         broj: 08-FI-E-0569/24-15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96F79D1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31.05.2025.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A0EE91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07E0820A" w14:textId="77777777" w:rsidTr="00FF05C4">
        <w:trPr>
          <w:trHeight w:val="78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7AD806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19.04.2024.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EBE17A7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9E215B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23.700,00 €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72890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2FFE41B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Javna rasvjeta-otok </w:t>
            </w:r>
            <w:proofErr w:type="spellStart"/>
            <w:r w:rsidRPr="00146FF0">
              <w:rPr>
                <w:color w:val="000000"/>
                <w:sz w:val="20"/>
              </w:rPr>
              <w:t>Krapanj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DDE9E6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financiranju                                         broj: 08-FI-E-0569/24-15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E960E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31.05.2025.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F4E0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0FE81E5E" w14:textId="77777777" w:rsidTr="00FF05C4">
        <w:trPr>
          <w:trHeight w:val="103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E97A6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12.07.2024.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09D5E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5F4F69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10.000,00 €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76695A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B48559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Izrada strategije razvoja urbanog područja Šibenik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66C97A7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sufinanciranju provedbe EU projekta broj: JPF.2024.-1.019.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F029FDB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12.07.2029.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2BB8B9F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57F3C98B" w14:textId="77777777" w:rsidTr="00FF05C4">
        <w:trPr>
          <w:trHeight w:val="103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E1BA3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lastRenderedPageBreak/>
              <w:t>22.08.2024.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B0AC9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D8E416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20.000,00 €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B2D65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D4AF5A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proofErr w:type="spellStart"/>
            <w:r w:rsidRPr="00146FF0">
              <w:rPr>
                <w:color w:val="000000"/>
                <w:sz w:val="20"/>
              </w:rPr>
              <w:t>Finding</w:t>
            </w:r>
            <w:proofErr w:type="spellEnd"/>
            <w:r w:rsidRPr="00146FF0">
              <w:rPr>
                <w:color w:val="000000"/>
                <w:sz w:val="20"/>
              </w:rPr>
              <w:t xml:space="preserve"> </w:t>
            </w:r>
            <w:proofErr w:type="spellStart"/>
            <w:r w:rsidRPr="00146FF0">
              <w:rPr>
                <w:color w:val="000000"/>
                <w:sz w:val="20"/>
              </w:rPr>
              <w:t>solutions</w:t>
            </w:r>
            <w:proofErr w:type="spellEnd"/>
            <w:r w:rsidRPr="00146FF0">
              <w:rPr>
                <w:color w:val="000000"/>
                <w:sz w:val="20"/>
              </w:rPr>
              <w:t xml:space="preserve"> to influence urban </w:t>
            </w:r>
            <w:proofErr w:type="spellStart"/>
            <w:r w:rsidRPr="00146FF0">
              <w:rPr>
                <w:color w:val="000000"/>
                <w:sz w:val="20"/>
              </w:rPr>
              <w:t>shrinkage</w:t>
            </w:r>
            <w:proofErr w:type="spellEnd"/>
            <w:r w:rsidRPr="00146FF0">
              <w:rPr>
                <w:color w:val="000000"/>
                <w:sz w:val="20"/>
              </w:rPr>
              <w:t xml:space="preserve">- </w:t>
            </w:r>
            <w:proofErr w:type="spellStart"/>
            <w:r w:rsidRPr="00146FF0">
              <w:rPr>
                <w:color w:val="000000"/>
                <w:sz w:val="20"/>
              </w:rPr>
              <w:t>Residents</w:t>
            </w:r>
            <w:proofErr w:type="spellEnd"/>
            <w:r w:rsidRPr="00146FF0">
              <w:rPr>
                <w:color w:val="000000"/>
                <w:sz w:val="20"/>
              </w:rPr>
              <w:t xml:space="preserve"> </w:t>
            </w:r>
            <w:proofErr w:type="spellStart"/>
            <w:r w:rsidRPr="00146FF0">
              <w:rPr>
                <w:color w:val="000000"/>
                <w:sz w:val="20"/>
              </w:rPr>
              <w:t>of</w:t>
            </w:r>
            <w:proofErr w:type="spellEnd"/>
            <w:r w:rsidRPr="00146FF0">
              <w:rPr>
                <w:color w:val="000000"/>
                <w:sz w:val="20"/>
              </w:rPr>
              <w:t xml:space="preserve"> Future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7E5F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sufinanciranju provedbe EU projekta broj: JPF.2024.-1.020.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1D04A7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31.12.2031.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74833B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2187BE44" w14:textId="77777777" w:rsidTr="00FF05C4">
        <w:trPr>
          <w:trHeight w:val="103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87B4D6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06.11.2024.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731395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711F36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10.000,00 €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C73069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099052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Projekt Site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7C7A4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sufinanciranju provedbe EU projekta broj: JPF.2024.-1.114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62BF02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31.12.2027.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46A72A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6A8D6FE3" w14:textId="77777777" w:rsidTr="00FF05C4">
        <w:trPr>
          <w:trHeight w:val="103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F9AFF8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6.11.2024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49F387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1043E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20.000,00 €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309E82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C2E4F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Projekt Site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29562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sufinanciranju provedbe EU projekta broj: JPF.2024.-1.114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DA0A2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31.12.2027.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C35B2C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33FFC001" w14:textId="77777777" w:rsidTr="00FF05C4">
        <w:trPr>
          <w:trHeight w:val="180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F0A4D8D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13.12.2024.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4DFE4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1FC9E6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75.000,00 €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13E9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branitelja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1A1B7E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Spomen soba za branitelje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59D69F1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Ugovor o sufinanciranju </w:t>
            </w:r>
            <w:proofErr w:type="spellStart"/>
            <w:r w:rsidRPr="00146FF0">
              <w:rPr>
                <w:color w:val="000000"/>
                <w:sz w:val="20"/>
              </w:rPr>
              <w:t>izgradnje,postavljanja</w:t>
            </w:r>
            <w:proofErr w:type="spellEnd"/>
            <w:r w:rsidRPr="00146FF0">
              <w:rPr>
                <w:color w:val="000000"/>
                <w:sz w:val="20"/>
              </w:rPr>
              <w:t xml:space="preserve"> i uređenja spomen-obilježja vezanim uz Domovinski rat u Republici Hrvatskoj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F6331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31.12.2025.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12F2F7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0D8FCAF4" w14:textId="77777777" w:rsidTr="00FF05C4">
        <w:trPr>
          <w:trHeight w:val="103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75AAC5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11.3.2025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E25418D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508CF9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20.000,00 €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B3D02A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E9A899D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Projekt </w:t>
            </w:r>
            <w:proofErr w:type="spellStart"/>
            <w:r w:rsidRPr="00146FF0">
              <w:rPr>
                <w:color w:val="000000"/>
                <w:sz w:val="20"/>
              </w:rPr>
              <w:t>SuPeRBE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99E55E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sufinanciranju provedbe EU projekta broj: JPF.2024.-1.144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526127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31.12.2027.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565CDA9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6EE33829" w14:textId="77777777" w:rsidTr="00FF05C4">
        <w:trPr>
          <w:trHeight w:val="103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699E19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24.04.2025.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EE30C6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5FDE2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75.000,00 €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D9647E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demografije i useljeništva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5F0FAC9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Uređenje dječjeg igrališta na </w:t>
            </w:r>
            <w:proofErr w:type="spellStart"/>
            <w:r w:rsidRPr="00146FF0">
              <w:rPr>
                <w:color w:val="000000"/>
                <w:sz w:val="20"/>
              </w:rPr>
              <w:t>Jadriji</w:t>
            </w:r>
            <w:proofErr w:type="spellEnd"/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8D1AFA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Odluka o financiranju projektnih prijedloga Poziva za dodjelu bespovratnih sredstava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F4CBA8B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24.4.2027.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D195F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649FD23E" w14:textId="77777777" w:rsidTr="00FF05C4">
        <w:trPr>
          <w:trHeight w:val="180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EE7741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lastRenderedPageBreak/>
              <w:t>24.04.2025.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61C3EA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1A5D6E7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20.000,00 €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322F29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demografije i useljeništva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48308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„Dostupnost kvalitetne skrbi za djecu u lokalnim zajednicama kroz poboljšanje materijalnih uvjeta u dječjim vrtićima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7A95F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Odluka o financiranju projektnih prijedloga Poziva za dodjelu bespovratnih sredstava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D8064A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24.04.2027.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760B6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24BE0F1D" w14:textId="77777777" w:rsidTr="00FF05C4">
        <w:trPr>
          <w:trHeight w:val="180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518956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24.04.2025.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0E88E6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A6C58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20.000,00 €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F4D47D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demografije i useljeništva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889056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„Dostupnost kvalitetne skrbi za djecu u lokalnim zajednicama kroz poboljšanje materijalnih uvjeta u dječjim vrtićima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5ED51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Odluka o financiranju projektnih prijedloga Poziva za dodjelu bespovratnih sredstava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3DE722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24.04.2027.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D8F1B9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5DBB00FB" w14:textId="77777777" w:rsidTr="00FF05C4">
        <w:trPr>
          <w:trHeight w:val="103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569B4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12.09.2025.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8F1701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7726E0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20.000,00 €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BF32B19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AC95F42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Projekt SIRM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A58468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sufinanciranju provedbe EU projekta broj: JPF.2024.-1.065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95D9D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31.1.2027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30D89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7857C841" w14:textId="77777777" w:rsidTr="00FF05C4">
        <w:trPr>
          <w:trHeight w:val="1035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A219092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06.10.2025.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B426C1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bjanko 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3F7B4D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20.000,00 €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46A13DC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Ministarstvo regionalnog razvoja i fondova EU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488C56D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Projekt "For Youth"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0AACA9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o sufinanciranju provedbe EU projekta broj: JPF.2025.-2.137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8E7C8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24.04.2027.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4B21AD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  <w:tr w:rsidR="001F5A9F" w:rsidRPr="00146FF0" w14:paraId="74F840EA" w14:textId="77777777" w:rsidTr="00FF05C4">
        <w:trPr>
          <w:trHeight w:val="2310"/>
        </w:trPr>
        <w:tc>
          <w:tcPr>
            <w:tcW w:w="15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AA60B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23.10.2025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4D5D77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center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zadužnica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078A48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jc w:val="right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2.948.000,00 €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509CCA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Fond za zaštitu okoliša i energetsku učinkovitost</w:t>
            </w:r>
          </w:p>
        </w:tc>
        <w:tc>
          <w:tcPr>
            <w:tcW w:w="2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9BA070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 xml:space="preserve">Postrojenje za energetsku oporabu goriva iz otpada i prosušenog mulja na lokaciji Centra za gospodarenje otpadom Šibensko-kninske županije </w:t>
            </w:r>
            <w:proofErr w:type="spellStart"/>
            <w:r w:rsidRPr="00146FF0">
              <w:rPr>
                <w:color w:val="000000"/>
                <w:sz w:val="20"/>
              </w:rPr>
              <w:t>Bikarac</w:t>
            </w:r>
            <w:proofErr w:type="spellEnd"/>
            <w:r w:rsidRPr="00146FF0">
              <w:rPr>
                <w:color w:val="000000"/>
                <w:sz w:val="20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066C53B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Ugovor br.2024/001554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A91073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31.12.2028.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DE8BF1B" w14:textId="77777777" w:rsidR="001F5A9F" w:rsidRPr="00146FF0" w:rsidRDefault="001F5A9F" w:rsidP="00FF05C4">
            <w:pPr>
              <w:spacing w:after="0" w:line="240" w:lineRule="auto"/>
              <w:ind w:firstLineChars="100" w:firstLine="200"/>
              <w:rPr>
                <w:color w:val="000000"/>
                <w:sz w:val="20"/>
              </w:rPr>
            </w:pPr>
            <w:r w:rsidRPr="00146FF0">
              <w:rPr>
                <w:color w:val="000000"/>
                <w:sz w:val="20"/>
              </w:rPr>
              <w:t> </w:t>
            </w:r>
          </w:p>
        </w:tc>
      </w:tr>
    </w:tbl>
    <w:p w14:paraId="72DF48D1" w14:textId="77777777" w:rsidR="001F5A9F" w:rsidRDefault="001F5A9F" w:rsidP="001F5A9F"/>
    <w:tbl>
      <w:tblPr>
        <w:tblW w:w="15031" w:type="dxa"/>
        <w:tblInd w:w="-572" w:type="dxa"/>
        <w:tblLook w:val="04A0" w:firstRow="1" w:lastRow="0" w:firstColumn="1" w:lastColumn="0" w:noHBand="0" w:noVBand="1"/>
      </w:tblPr>
      <w:tblGrid>
        <w:gridCol w:w="741"/>
        <w:gridCol w:w="741"/>
        <w:gridCol w:w="1227"/>
        <w:gridCol w:w="1275"/>
        <w:gridCol w:w="1275"/>
        <w:gridCol w:w="1386"/>
        <w:gridCol w:w="3137"/>
        <w:gridCol w:w="3253"/>
        <w:gridCol w:w="1984"/>
        <w:gridCol w:w="12"/>
      </w:tblGrid>
      <w:tr w:rsidR="001F5A9F" w:rsidRPr="00FE6FEE" w14:paraId="4C9EBA77" w14:textId="77777777" w:rsidTr="00FF05C4">
        <w:trPr>
          <w:trHeight w:val="525"/>
          <w:tblHeader/>
        </w:trPr>
        <w:tc>
          <w:tcPr>
            <w:tcW w:w="150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D3EF"/>
            <w:noWrap/>
            <w:vAlign w:val="bottom"/>
            <w:hideMark/>
          </w:tcPr>
          <w:p w14:paraId="7AF964D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Aptos Narrow" w:hAnsi="Aptos Narrow"/>
                <w:b/>
                <w:bCs/>
                <w:color w:val="000000"/>
                <w:sz w:val="40"/>
                <w:szCs w:val="40"/>
              </w:rPr>
            </w:pPr>
            <w:r w:rsidRPr="00FE6FEE">
              <w:rPr>
                <w:rFonts w:ascii="Aptos Narrow" w:hAnsi="Aptos Narrow"/>
                <w:b/>
                <w:bCs/>
                <w:color w:val="000000"/>
                <w:sz w:val="40"/>
                <w:szCs w:val="40"/>
              </w:rPr>
              <w:lastRenderedPageBreak/>
              <w:t>POPIS UGOVORNIH ODNOSA - PRIMLJENI INSTRUMENTI OSIGURANJA</w:t>
            </w:r>
          </w:p>
        </w:tc>
      </w:tr>
      <w:tr w:rsidR="001F5A9F" w:rsidRPr="00FE6FEE" w14:paraId="460533EA" w14:textId="77777777" w:rsidTr="00FF05C4">
        <w:trPr>
          <w:gridAfter w:val="1"/>
          <w:wAfter w:w="12" w:type="dxa"/>
          <w:trHeight w:val="9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D3EF"/>
            <w:vAlign w:val="center"/>
            <w:hideMark/>
          </w:tcPr>
          <w:p w14:paraId="006434C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FE6FEE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 xml:space="preserve"> Redni broj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D3EF"/>
            <w:vAlign w:val="center"/>
            <w:hideMark/>
          </w:tcPr>
          <w:p w14:paraId="1F49B66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FE6FEE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 xml:space="preserve"> Redni broj 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D3EF"/>
            <w:vAlign w:val="center"/>
            <w:hideMark/>
          </w:tcPr>
          <w:p w14:paraId="69E817F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FE6FEE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Instrument osiguranja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D3EF"/>
            <w:vAlign w:val="center"/>
            <w:hideMark/>
          </w:tcPr>
          <w:p w14:paraId="07EB3E1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FE6FEE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Datum izdavanja dokumenta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D3EF"/>
            <w:noWrap/>
            <w:vAlign w:val="center"/>
            <w:hideMark/>
          </w:tcPr>
          <w:p w14:paraId="66B99B0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FE6FEE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Datum dospijeća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D3EF"/>
            <w:noWrap/>
            <w:vAlign w:val="center"/>
            <w:hideMark/>
          </w:tcPr>
          <w:p w14:paraId="797DF90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FE6FEE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Valuta/EUR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D3EF"/>
            <w:vAlign w:val="center"/>
            <w:hideMark/>
          </w:tcPr>
          <w:p w14:paraId="70C7109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FE6FEE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Izdavatelj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D3EF"/>
            <w:vAlign w:val="center"/>
            <w:hideMark/>
          </w:tcPr>
          <w:p w14:paraId="1FD4D16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FE6FEE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Namjena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D3EF"/>
            <w:noWrap/>
            <w:vAlign w:val="center"/>
            <w:hideMark/>
          </w:tcPr>
          <w:p w14:paraId="4272B7E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</w:pPr>
            <w:r w:rsidRPr="00FE6FEE">
              <w:rPr>
                <w:rFonts w:ascii="Aptos Narrow" w:hAnsi="Aptos Narrow"/>
                <w:b/>
                <w:bCs/>
                <w:color w:val="000000"/>
                <w:sz w:val="22"/>
                <w:szCs w:val="22"/>
              </w:rPr>
              <w:t>Broj dokumenta</w:t>
            </w:r>
          </w:p>
        </w:tc>
      </w:tr>
      <w:tr w:rsidR="001F5A9F" w:rsidRPr="00FE6FEE" w14:paraId="747AF203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5778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7D9A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9694F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DCCC5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2.7.2019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975FC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30.06.2029.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1FDA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13.272,28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ADD27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A1 HRVATSKA D.O.O. ZA USLUGE JAVNIH KOMUNIKACIJA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6F88A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 za zakup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B3B3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OV-3132/2019</w:t>
            </w:r>
          </w:p>
        </w:tc>
      </w:tr>
      <w:tr w:rsidR="001F5A9F" w:rsidRPr="00FE6FEE" w14:paraId="3165B316" w14:textId="77777777" w:rsidTr="00FF05C4">
        <w:trPr>
          <w:gridAfter w:val="1"/>
          <w:wAfter w:w="12" w:type="dxa"/>
          <w:trHeight w:val="44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4FC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39134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A4B62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BB9B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10.12.2019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0CEB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31.12.2029.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471A8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6.636,14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D14A9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TELEMACH HRVATSKA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2665E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 za zakup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1F6B5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OV-12631/2019 od 10.12.2019.</w:t>
            </w:r>
          </w:p>
        </w:tc>
      </w:tr>
      <w:tr w:rsidR="001F5A9F" w:rsidRPr="00FE6FEE" w14:paraId="32CA653A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41B9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396C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ECDE4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7752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27.2.2020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F51CB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27.02.2026.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5BC5B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1.327,23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BCD58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AUTO CENTAR JEDAN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5839A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Zadužnica- službeno vozilo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A818C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OV-1390/2020 od 27.02.2020</w:t>
            </w:r>
          </w:p>
        </w:tc>
      </w:tr>
      <w:tr w:rsidR="001F5A9F" w:rsidRPr="00FE6FEE" w14:paraId="13EED3E4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9A35F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6158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44EE7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CAF2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27.2.2020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780C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27.02.2026.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3E21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1.327,23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5E5C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AUTO CENTAR JEDAN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DA19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Zadužnica- službeno vozilo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ED1FE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OV-1391/2020 od 27.02.2020.</w:t>
            </w:r>
          </w:p>
        </w:tc>
      </w:tr>
      <w:tr w:rsidR="001F5A9F" w:rsidRPr="00FE6FEE" w14:paraId="4B2B8973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390E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1B5EF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16EA2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22558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25.6.2020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8EB9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25.06.2026.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228B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2.654,46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D0C4C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JADRAN 4 VL. JADRAN BAUS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1AE1E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Bjanko Zadužnica - Brodski prijevoz putnika na relaciji Šibenik -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Jadrija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88D2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OV-2471/2020</w:t>
            </w:r>
          </w:p>
        </w:tc>
      </w:tr>
      <w:tr w:rsidR="001F5A9F" w:rsidRPr="00FE6FEE" w14:paraId="79C2E6A8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44E5C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2FFDC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87AA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F59EE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26.10.2020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DB5A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31.8.2027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8F525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246.521,98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5698B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M-P-BETON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2C83E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 ZA OTKLANJANJE NEDOSTATAKA- TROKUT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CD51A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08-4100998279/2020</w:t>
            </w:r>
          </w:p>
        </w:tc>
      </w:tr>
      <w:tr w:rsidR="001F5A9F" w:rsidRPr="00FE6FEE" w14:paraId="5ECBEF4E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17BD8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7.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CFDA9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026D5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294DD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21.12.2020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C038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31.12.2026.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0246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663,61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C0DBB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FRKA PLUS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B97E4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 za zakup JGP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D52B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OV-8288/2020</w:t>
            </w:r>
          </w:p>
        </w:tc>
      </w:tr>
      <w:tr w:rsidR="001F5A9F" w:rsidRPr="00FE6FEE" w14:paraId="4A6BC7A7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A86A9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0DE1D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9EF8A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B549C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08.01.2021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C129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03.10.2026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0EBC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11.947,74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22772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TEC GRADNJA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42EE8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REKONSTRUKCIJA CESTE U MANDALINI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C5DAE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58027747</w:t>
            </w:r>
          </w:p>
        </w:tc>
      </w:tr>
      <w:tr w:rsidR="001F5A9F" w:rsidRPr="00FE6FEE" w14:paraId="2726CADC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7358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2E1A9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BE1D4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76A04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22.03.2021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F0DD4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06.03.2026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5B9D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1.061.782,47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967CA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FERO-TERM 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3860C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Kupoprodajni ugovor-zemljište na Podima (izgradnja gospodarsko poslovnih i proizvodnih sadržaja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51A1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OV-2777/2021</w:t>
            </w:r>
          </w:p>
        </w:tc>
      </w:tr>
      <w:tr w:rsidR="001F5A9F" w:rsidRPr="00FE6FEE" w14:paraId="3EA68562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411FF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74B3A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1CF4D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E9E0E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01.03.2021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4EC7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14.02.2026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1153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38.303,80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85D8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KAMENI ZID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9845B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Kupoprodajni ugovor-zemljište na Podima radi izgradnje gospodarsko poslovnih i proizvodnih sadržaja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B6DF6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OV-987/2021</w:t>
            </w:r>
          </w:p>
        </w:tc>
      </w:tr>
      <w:tr w:rsidR="001F5A9F" w:rsidRPr="00FE6FEE" w14:paraId="68712DC9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7E0B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11.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5567D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7E3B6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A18D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22.03.2021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57C6F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06.03.2026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81FC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13.272,28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673A4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CANTABILE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32B53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Kupoprodajni ugovor -zemljišta na Podima radi izgradnje </w:t>
            </w: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gospodarsko poslovnih i proizvodnih sadržaja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5EE48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OV-1424/2021</w:t>
            </w:r>
          </w:p>
        </w:tc>
      </w:tr>
      <w:tr w:rsidR="001F5A9F" w:rsidRPr="00FE6FEE" w14:paraId="46D7ED80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F65AB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12.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02675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430DB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71ACE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22.03.2021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02CCB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06.03.2026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48E8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66.361,40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8CA92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CANTABILE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4254B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Kupoprodajni ugovor -zemljišta na Podima radi izgradnje gospodarsko poslovnih i proizvodnih sadržaja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BA0ED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OV-1422/2021</w:t>
            </w:r>
          </w:p>
        </w:tc>
      </w:tr>
      <w:tr w:rsidR="001F5A9F" w:rsidRPr="00FE6FEE" w14:paraId="5E73324D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BF257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CF12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CB52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0F157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22.03.2021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B6CD0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06.03.2026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E4166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13.272,28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3C423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CANTABILE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C5E95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Kupoprodajni ugovor -zemljišta na Podima radi izgradnje gospodarsko poslovnih i proizvodnih sadržaja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94830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OV-1423/2021</w:t>
            </w:r>
          </w:p>
        </w:tc>
      </w:tr>
      <w:tr w:rsidR="001F5A9F" w:rsidRPr="00FE6FEE" w14:paraId="13A1A0CA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5DABD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14.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96E26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77535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C521F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28.05.2021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5208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10.04.2026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EABE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28.840,54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06496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MAORI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3A2DD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JAMSTVO ZA OTKLANJANJE NED.- GRUPA II ARSEN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FD408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301-0008917444</w:t>
            </w:r>
          </w:p>
        </w:tc>
      </w:tr>
      <w:tr w:rsidR="001F5A9F" w:rsidRPr="00FE6FEE" w14:paraId="1AD594E9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A210C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15.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6A0F8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E3D16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5C21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17.05.2021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3225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14.07.2027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8B8A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77.804,39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B1754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RELIANCE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EBFF2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I. dodatak -GARANCIJA ZA OTKLANJANJE NEDOSTATAKA- PODI GRUPA I (NA CJELOKUPNI ROK)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7578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G/1057/21</w:t>
            </w:r>
          </w:p>
        </w:tc>
      </w:tr>
      <w:tr w:rsidR="001F5A9F" w:rsidRPr="00FE6FEE" w14:paraId="1036CA53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E715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0E96A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7720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DF75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28.05.2021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7AAE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27.05.2026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49DB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3.961,24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B32CA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DELTRON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C3EA5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Obnova športsko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rek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. centra Ljubica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01DAE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G/1052/21</w:t>
            </w:r>
          </w:p>
        </w:tc>
      </w:tr>
      <w:tr w:rsidR="001F5A9F" w:rsidRPr="00FE6FEE" w14:paraId="32AF28F7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FC8AC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59A3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DADFB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63DB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08.06.2021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3B3A9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27.05.2026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3EF9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4.182,24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4BAF9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DELTRON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9D6E4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Energetskao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obnova -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šc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Ljubica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9D96C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Dodatak I. garanciji G/1052/21</w:t>
            </w:r>
          </w:p>
        </w:tc>
      </w:tr>
      <w:tr w:rsidR="001F5A9F" w:rsidRPr="00FE6FEE" w14:paraId="136A4EAC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35431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8181B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5A1FE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85986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06.08.2021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34CB4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01.06.2027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6792E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6.582,98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7A6FA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KONSA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1ADA3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II. faza uređenja Gradske vijećnice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32942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58028432</w:t>
            </w:r>
          </w:p>
        </w:tc>
      </w:tr>
      <w:tr w:rsidR="001F5A9F" w:rsidRPr="00FE6FEE" w14:paraId="0D009540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58E04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19.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A185D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989F2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1FC79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31.08.2021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9772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30.09.2027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BDD1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54.052,84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7DACB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SARAĐEN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8083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UREĐENJE CESTE OKO SV. MARE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07CC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527817</w:t>
            </w:r>
          </w:p>
        </w:tc>
      </w:tr>
      <w:tr w:rsidR="001F5A9F" w:rsidRPr="00FE6FEE" w14:paraId="706517E7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A6461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9DCE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CEAA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81F25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09.09.2021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3BA56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8.11.2026.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4AB5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132.722,81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F1E4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CEP SUŠARA ŠIBENIK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E9373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Kupoprodajni ugovor - Zemljište u Gospodarskoj zoni Podi, čest.br.1306/115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K.O.Danilo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Biranj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F77C3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OV-4398/2021</w:t>
            </w:r>
          </w:p>
        </w:tc>
      </w:tr>
      <w:tr w:rsidR="001F5A9F" w:rsidRPr="00FE6FEE" w14:paraId="6AF87415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52F58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A1F23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D60E6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3913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19.04.2021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17826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21.04.2026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F1F6D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132.722,81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977F0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SEA TECH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F02E9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Kupoporodajni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ugovor - Gospodarska zona "Podi", čest.br. 1306/130 K.O. Danilo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Biranj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383FE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OV-2752/2021</w:t>
            </w:r>
          </w:p>
        </w:tc>
      </w:tr>
      <w:tr w:rsidR="001F5A9F" w:rsidRPr="00FE6FEE" w14:paraId="4DA22E7B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A2A6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22.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AD83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9675E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6CFC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19.04.2021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EC8F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21.04.2026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1396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13.272,28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03CD5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SEA TECH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E8F01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Kupoporodajni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ugovor - Gospodarska zona "Podi", čest.br. 1306/130 K.O. Danilo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Biranj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FCE1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OV-2751/2021</w:t>
            </w:r>
          </w:p>
        </w:tc>
      </w:tr>
      <w:tr w:rsidR="001F5A9F" w:rsidRPr="00FE6FEE" w14:paraId="4330AC39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E14A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A263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2857D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BE500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04.03.2022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1131F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04.01.2026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6187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20.556,09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D530E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STOLARIJA GOJANOVIĆ 1969.G. d.o.o. za trgovinu i usluge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C1ACB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Uređenje buduće kuće Arsen - grupa 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BB52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8734000669</w:t>
            </w:r>
          </w:p>
        </w:tc>
      </w:tr>
      <w:tr w:rsidR="001F5A9F" w:rsidRPr="00FE6FEE" w14:paraId="64F17D2D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BDC8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6F38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C8E0B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61136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05.05.2022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31873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31.05.2026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D496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37.814,65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96015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BEMIX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EF37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Održavanje javnih površina na području grada Šibenika 2022.-2026.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8E522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58029152</w:t>
            </w:r>
          </w:p>
        </w:tc>
      </w:tr>
      <w:tr w:rsidR="001F5A9F" w:rsidRPr="00FE6FEE" w14:paraId="6BD29A9C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C026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D45E0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2889D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3BC4C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06.05.2022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90CC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29.04.2026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6C7CF1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277.754,05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02286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AUTO HRVATSKA PRODAJNO SERVISNI CENTRI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D4E53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Nabava 11 novih solo niskopodnih autobusa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69404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G/972/22</w:t>
            </w:r>
          </w:p>
        </w:tc>
      </w:tr>
      <w:tr w:rsidR="001F5A9F" w:rsidRPr="00FE6FEE" w14:paraId="6B5C4005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8237D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A47BE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316BF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07948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17.05.2022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B03C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12.06.2026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2C83E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167.076,37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CCAE2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CESTE ŠIBENIK, društvo za održavanje i zaštitu cesta, građevinarstvo i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42C0D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ODRŽAVANJE NERAZVRSTANIH CESTA - GRUPA 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D302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4101071787</w:t>
            </w:r>
          </w:p>
        </w:tc>
      </w:tr>
      <w:tr w:rsidR="001F5A9F" w:rsidRPr="00FE6FEE" w14:paraId="171E6F28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10FE7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FE345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B51D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EF633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17.05.2022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BE4B8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12.06.2026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3B74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10.582,65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7B251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CESTE ŠIBENIK, društvo za održavanje i zaštitu cesta, građevinarstvo i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49C3D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ODRŽAVANJE NERAZVRSTANIH CESTA - GRUPA II.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AA73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4101071803</w:t>
            </w:r>
          </w:p>
        </w:tc>
      </w:tr>
      <w:tr w:rsidR="001F5A9F" w:rsidRPr="00FE6FEE" w14:paraId="3E45D6F1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9B1A9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57CA2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F315F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9E1F0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02.06.2022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197D9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14.04.2029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F454F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13.272,28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6D31C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GOODMAN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C285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 za zakup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4370A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OV-601/2022</w:t>
            </w:r>
          </w:p>
        </w:tc>
      </w:tr>
      <w:tr w:rsidR="001F5A9F" w:rsidRPr="00FE6FEE" w14:paraId="1B11C7EF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53A35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ADCE2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CB1CB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A65B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02.06.2022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BBE16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15.04.2029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C35621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13.272,28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CC19C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GOODMAN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06202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 za zakup.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0BE30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OV-602/2022</w:t>
            </w:r>
          </w:p>
        </w:tc>
      </w:tr>
      <w:tr w:rsidR="001F5A9F" w:rsidRPr="00FE6FEE" w14:paraId="31CF04C4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2FD26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A6695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241ED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C0486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A705B1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22.06.2026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2227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37.725,13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409D1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PISMORAD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D7A39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PROMETNA SIGNALIZACIJA -NABAVA I POSTAVLJANJE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AE99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5402295436</w:t>
            </w:r>
          </w:p>
        </w:tc>
      </w:tr>
      <w:tr w:rsidR="001F5A9F" w:rsidRPr="00FE6FEE" w14:paraId="7E751693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6A9A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7F67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17EC8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8FB9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30.05.2022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378FF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30.06.2026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9AC99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9.626,12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34EEB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AS-EKO d.o.o. ŠIBENIK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B7A1A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Usluge zbrinjavanja i postupanja s napuštenim životinjama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C23B9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5402294610</w:t>
            </w:r>
          </w:p>
        </w:tc>
      </w:tr>
      <w:tr w:rsidR="001F5A9F" w:rsidRPr="00FE6FEE" w14:paraId="50ACF03E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EFF5D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B8383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1657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AEEED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12.07.2022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C4DD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31.07.2027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133EB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1.327,23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59FE3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ALTICA d.o.o. za promidžbu i trgovinu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7AA15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 za zakup.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8BFE6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OV-1354/2022</w:t>
            </w:r>
          </w:p>
        </w:tc>
      </w:tr>
      <w:tr w:rsidR="001F5A9F" w:rsidRPr="00FE6FEE" w14:paraId="3641B017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9678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56245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D56E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BBD5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5AF81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31.08.2026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C432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36.981,59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D8FCD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RELIANCE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69B85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DV VIDICI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22E2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G/1435/22</w:t>
            </w:r>
          </w:p>
        </w:tc>
      </w:tr>
      <w:tr w:rsidR="001F5A9F" w:rsidRPr="00FE6FEE" w14:paraId="31555191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0D29F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09B4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2136B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3C574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20.07.2022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EE22D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20.07.2029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BE50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601.884,92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4E239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INOVATOR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B8673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Obnova tvrđave sv. Ivan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5BAF0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22138280017</w:t>
            </w:r>
          </w:p>
        </w:tc>
      </w:tr>
      <w:tr w:rsidR="001F5A9F" w:rsidRPr="00FE6FEE" w14:paraId="42A275C9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26F4D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8C2C7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9349F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8A70E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12.07.2022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1A7A1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07.07.2027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CB210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14.963,38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BE940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FORMA PURUS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41E13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Reklamni pano Podi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6A649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2204003853</w:t>
            </w:r>
          </w:p>
        </w:tc>
      </w:tr>
      <w:tr w:rsidR="001F5A9F" w:rsidRPr="00FE6FEE" w14:paraId="15098E47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8D73F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36.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5A8C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49F95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EE9CC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28.07.2022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00433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15.08.2028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EC00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8.023,94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B90DA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NEIR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4E96D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Radovi na uređenju Spomen parka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Šubićevac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FD8CA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5402305243</w:t>
            </w:r>
          </w:p>
        </w:tc>
      </w:tr>
      <w:tr w:rsidR="001F5A9F" w:rsidRPr="00FE6FEE" w14:paraId="17143DAD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A408B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37.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EE526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C2D0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B8703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03.08.2022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B68FF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27.07.2027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BD5B8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24.413,67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6D4CB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PRIMAT LOGISTIKA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5004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Ugovor o nabavi unutarnjeg uređenja tvrđave sv. Ivan i kuhinjske opreme za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Obsidio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8901B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2204004035</w:t>
            </w:r>
          </w:p>
        </w:tc>
      </w:tr>
      <w:tr w:rsidR="001F5A9F" w:rsidRPr="00FE6FEE" w14:paraId="564E66E0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8EC80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38.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D690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D2DDF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A8EA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03.08.2022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F2D1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28.04.2027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5129B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16.376,59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BA160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HT - HRVATSKE TELEKOMUNIKACIJE d.d.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EC5F3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Nabava info displaya za autobusna stajališta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CACC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537544</w:t>
            </w:r>
          </w:p>
        </w:tc>
      </w:tr>
      <w:tr w:rsidR="001F5A9F" w:rsidRPr="00FE6FEE" w14:paraId="655EE2B0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CD8BE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39.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BC47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C52D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2942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19.08.2022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AE07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20.08.2027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2A49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19.792,08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22751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PECTUS d.o.o. za graditeljstvo i trgovinu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249E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IZGRADNJA JAVNE RASVJETE NA RIVI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AAB6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22138280018</w:t>
            </w:r>
          </w:p>
        </w:tc>
      </w:tr>
      <w:tr w:rsidR="001F5A9F" w:rsidRPr="00FE6FEE" w14:paraId="5840CFF1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2B6A5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40.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B040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F6C03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8A38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30.09.2022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5FF3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27.09.2027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7D531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8.346,66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E8D52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PRIMAT LOGISTIKA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46C79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Opremanje kuća Šare i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Kažerma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638DB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2204005484</w:t>
            </w:r>
          </w:p>
        </w:tc>
      </w:tr>
      <w:tr w:rsidR="001F5A9F" w:rsidRPr="00FE6FEE" w14:paraId="6650408D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76336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41.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E007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854C4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BC7E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22.12.2022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C01A9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31.07.2028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CA005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184.677,92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7C7E8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M-P-BETON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0F926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KUĆE ŠARE I KAŽERMA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F850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4101094417</w:t>
            </w:r>
          </w:p>
        </w:tc>
      </w:tr>
      <w:tr w:rsidR="001F5A9F" w:rsidRPr="00FE6FEE" w14:paraId="665B5049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9529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42.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23DE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BC9E1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A429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02.02.2023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A920A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23.02.2027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55738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162.870,40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D5D2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PECTUS d.o.o. za graditeljstvo i trgovinu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2C797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Održavanje javne rasvjete na području grada Šibenika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3C963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23138280004</w:t>
            </w:r>
          </w:p>
        </w:tc>
      </w:tr>
      <w:tr w:rsidR="001F5A9F" w:rsidRPr="00FE6FEE" w14:paraId="3FFA4E24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23E2F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43.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C75E3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767C8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9466B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01.03.2023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5573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23.05.2026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0BA6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41.434,64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DC6CF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PISMORAD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4E291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PROMETNA SIGNALIZACIJA (POVEĆANJE UGOVORENOG IZNOSA)- fali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respiro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BF31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5402342485</w:t>
            </w:r>
          </w:p>
        </w:tc>
      </w:tr>
      <w:tr w:rsidR="001F5A9F" w:rsidRPr="00FE6FEE" w14:paraId="41406E4D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4942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44.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50E5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3D57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21A5A1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DBD21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13.03.2028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1712C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398.168,42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7F0A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VILLA DUBROVNIK D.D.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8DFE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Obveza prema ugovoru o pravu građenju -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Dogus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Marina Hoteli d.o.o. (KLASA: 302-01/07-01/1; URBROJ: 2182/1-01/1-22-7)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2B6E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OV-1336/2023</w:t>
            </w:r>
          </w:p>
        </w:tc>
      </w:tr>
      <w:tr w:rsidR="001F5A9F" w:rsidRPr="00FE6FEE" w14:paraId="13E32978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44F6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45.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F6C43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D2226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7DF0A1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30.03.2023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8520F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04.02.2028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E5A5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35.143,13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ED187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TEC GRADNJA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D185E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Uređenje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Ul.P.Grubišića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 Zadarske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A802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2304001502</w:t>
            </w:r>
          </w:p>
        </w:tc>
      </w:tr>
      <w:tr w:rsidR="001F5A9F" w:rsidRPr="00FE6FEE" w14:paraId="4DC6916A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BA972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46.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522E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590E8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F086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30.03.2023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42AD4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25.01.2028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DCC9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144.693,24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F84B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MINIGRADNJA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B4417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IZGRADNJA DV LJUBICA ( dostavljeno na rok od 60 mjeseci umjesto 62)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40674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2304001774</w:t>
            </w:r>
          </w:p>
        </w:tc>
      </w:tr>
      <w:tr w:rsidR="001F5A9F" w:rsidRPr="00FE6FEE" w14:paraId="54E3FE80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5772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47.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78353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E14A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8A77A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05.05.2023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1CEB4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06.06.2026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79EF2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13.137,32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D9BE5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RELIANCE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892A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REKONSTRUKCIJA KOTLOVNICA - nabava i ugradnja opreme za grijanje u OŠ (Izdana na cjelokupni rok)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E281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2304002458</w:t>
            </w:r>
          </w:p>
        </w:tc>
      </w:tr>
      <w:tr w:rsidR="001F5A9F" w:rsidRPr="00FE6FEE" w14:paraId="74CFE290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A744A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48.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0261F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74EE4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E6512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27.06.2023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C3BE2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05.07.2026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61A8C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944A8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JOSIP BUJAS, VL. OBRTA "MUSTER"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D243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KUPOPRODAJNI UGOVOR -GRAĐEVINSKO ZEMLJIŠTE U ZONI PODI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64459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OV-4349/2023</w:t>
            </w:r>
          </w:p>
        </w:tc>
      </w:tr>
      <w:tr w:rsidR="001F5A9F" w:rsidRPr="00FE6FEE" w14:paraId="6D56879B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3AD9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49.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8514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71EFB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56BA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27.06.2023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FF1C3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05.07.2026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B29B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ABAB3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JOSIP BUJAS, VL. OBRTA "MUSTER"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D3299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KUPOPRODAJNI UGOVOR -GRAĐEVINSKO ZEMLJIŠTE U ZONI PODI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EFD8A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OV-4348/2023</w:t>
            </w:r>
          </w:p>
        </w:tc>
      </w:tr>
      <w:tr w:rsidR="001F5A9F" w:rsidRPr="00FE6FEE" w14:paraId="62808492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9D2D7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50.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E5CDE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19D09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6331D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29.06.2023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7C569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29.06.2026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34D0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75.000,00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7FD65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DEVČIĆ MARIN, OBRT "MOTONAUTIKA DEVČIĆ"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EDA0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KUPOPRODAJNI UGOVOR -PRODAJA GRAĐEVINSKOG ZEMLJIŠTA U ZONI PODI (k.č.1306/161 KO Danilo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Biranj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0EA29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OV-4433/2023</w:t>
            </w:r>
          </w:p>
        </w:tc>
      </w:tr>
      <w:tr w:rsidR="001F5A9F" w:rsidRPr="00FE6FEE" w14:paraId="748628D7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ACFB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51.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EC6C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0C24A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E6A6C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24.08.2023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A170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24.08.2026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71905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210.000,00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AAFD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COLLECTIO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F9D12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KUPOPRODAJNI UGOVOR - GRAĐEVINSKO ZEMLJIŠTE PODI (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k.č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1606/111 K.o. Danilo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Biranj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DAC36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OV-44/2023</w:t>
            </w:r>
          </w:p>
        </w:tc>
      </w:tr>
      <w:tr w:rsidR="001F5A9F" w:rsidRPr="00FE6FEE" w14:paraId="209021A1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D9C0A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52.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C1C7B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17EF5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46462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20.10.2023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E4D0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31.12.2028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DE50A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6.699,80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C9C0B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MULTI-SPORT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F3B58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Obnavljanje poda sportske dvorane Osnovne škole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Meterize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6DB1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5402383514</w:t>
            </w:r>
          </w:p>
        </w:tc>
      </w:tr>
      <w:tr w:rsidR="001F5A9F" w:rsidRPr="00FE6FEE" w14:paraId="6155BD06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66E54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53.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6625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A8122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E2F6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23.10.2023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FC466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10.10.2028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26813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53.686,83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36F41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STRABAG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FE90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Izgradnja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inrastrukture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Podsolarsko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DBB25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550745</w:t>
            </w:r>
          </w:p>
        </w:tc>
      </w:tr>
      <w:tr w:rsidR="001F5A9F" w:rsidRPr="00FE6FEE" w14:paraId="340B4B7F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16DF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54.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246DF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9AFF9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BDE1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22.09.2023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39521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22.09.2026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CD1A7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75.000,00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7CE3E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FAIRY TALE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0EAB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Kupoprodajni ugovor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A473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OV-483/2023</w:t>
            </w:r>
          </w:p>
        </w:tc>
      </w:tr>
      <w:tr w:rsidR="001F5A9F" w:rsidRPr="00FE6FEE" w14:paraId="2E92C871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C0F4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55.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3870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1F64F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7140A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28.12.2023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C945B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28.12.2028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84668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9.325,28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5E3C3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DELTRON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389E2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III. faza obnove Gradske vijećnice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7793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G/2551/23</w:t>
            </w:r>
          </w:p>
        </w:tc>
      </w:tr>
      <w:tr w:rsidR="001F5A9F" w:rsidRPr="00FE6FEE" w14:paraId="5238391B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206221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56.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6165F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92076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33D81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17.10.2023.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6792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17.10.2026.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926BA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81.210,00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A392FE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APOLON GROUP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F6DE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KUPOPRODAJNI UGOVOR PODI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8581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OV-6347/2023</w:t>
            </w:r>
          </w:p>
        </w:tc>
      </w:tr>
      <w:tr w:rsidR="001F5A9F" w:rsidRPr="00FE6FEE" w14:paraId="13BF94A4" w14:textId="77777777" w:rsidTr="00FF05C4">
        <w:trPr>
          <w:gridAfter w:val="1"/>
          <w:wAfter w:w="12" w:type="dxa"/>
          <w:trHeight w:val="315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396F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57.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3CA5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BA5429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796E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9.2.2024.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65212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31.01.2029.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53A4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FE6FEE">
              <w:rPr>
                <w:rFonts w:ascii="Calibri" w:hAnsi="Calibri" w:cs="Calibri"/>
                <w:color w:val="000000"/>
              </w:rPr>
              <w:t>8.180,38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B893AF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INOVATOR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AA7DDA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Parkiralište za osobne automobile- otklanjanje nedostataka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EF849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554115</w:t>
            </w:r>
          </w:p>
        </w:tc>
      </w:tr>
      <w:tr w:rsidR="001F5A9F" w:rsidRPr="00FE6FEE" w14:paraId="685E9AF0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618F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58.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991B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87808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AA89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12.2.2024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0271C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29.2.2028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3159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38.440,00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EF195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AS-EKO d.o.o. ŠIBENIK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AC0B4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 xml:space="preserve">Okvirni sporazum- </w:t>
            </w:r>
            <w:proofErr w:type="spellStart"/>
            <w:r w:rsidRPr="00FE6FEE">
              <w:rPr>
                <w:rFonts w:ascii="Calibri" w:hAnsi="Calibri" w:cs="Calibri"/>
                <w:sz w:val="22"/>
                <w:szCs w:val="22"/>
              </w:rPr>
              <w:t>suluge</w:t>
            </w:r>
            <w:proofErr w:type="spellEnd"/>
            <w:r w:rsidRPr="00FE6FEE">
              <w:rPr>
                <w:rFonts w:ascii="Calibri" w:hAnsi="Calibri" w:cs="Calibri"/>
                <w:sz w:val="22"/>
                <w:szCs w:val="22"/>
              </w:rPr>
              <w:t xml:space="preserve"> dezinsekcije, </w:t>
            </w:r>
            <w:proofErr w:type="spellStart"/>
            <w:r w:rsidRPr="00FE6FEE">
              <w:rPr>
                <w:rFonts w:ascii="Calibri" w:hAnsi="Calibri" w:cs="Calibri"/>
                <w:sz w:val="22"/>
                <w:szCs w:val="22"/>
              </w:rPr>
              <w:t>teratizacije</w:t>
            </w:r>
            <w:proofErr w:type="spellEnd"/>
            <w:r w:rsidRPr="00FE6FEE">
              <w:rPr>
                <w:rFonts w:ascii="Calibri" w:hAnsi="Calibri" w:cs="Calibri"/>
                <w:sz w:val="22"/>
                <w:szCs w:val="22"/>
              </w:rPr>
              <w:t xml:space="preserve"> i sakupljanja uginulih životinja na području grada Šibenika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387EA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5402405394</w:t>
            </w:r>
          </w:p>
        </w:tc>
      </w:tr>
      <w:tr w:rsidR="001F5A9F" w:rsidRPr="00FE6FEE" w14:paraId="1A63B664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AC8B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59.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A32B6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C4480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0D523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20.2.2024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18286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4.7.2026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2CD2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93.885,00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1489C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METAL PRODUKT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F5E15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KUPOPRODAJNI UGOVOR- ZEMLJIŠTE PODI (Zadužnica NA DAN 4.7.2023.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2CF3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OV-4588/2023</w:t>
            </w:r>
          </w:p>
        </w:tc>
      </w:tr>
      <w:tr w:rsidR="001F5A9F" w:rsidRPr="00FE6FEE" w14:paraId="15238FCE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58CC2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60.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CEC5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24200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ED4C2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14.2.2024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FB3C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23.2.2027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004C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145.605,00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F3FDF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MINIGRADNJA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2C50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KUPOPRODAJNI UGOVOR -ZEMLJIŠTE PODI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C436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OV-1175/2024</w:t>
            </w:r>
          </w:p>
        </w:tc>
      </w:tr>
      <w:tr w:rsidR="001F5A9F" w:rsidRPr="00FE6FEE" w14:paraId="4278F4B2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50983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61.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B7F2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79852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F5495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5.2.2024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0B35D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30.4.2026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1E666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10.000,00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4A842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DJELO VODICE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BDDCF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ZAKUP POSLOVNOG PROSTORA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D293B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OV-878/2024</w:t>
            </w:r>
          </w:p>
        </w:tc>
      </w:tr>
      <w:tr w:rsidR="001F5A9F" w:rsidRPr="00FE6FEE" w14:paraId="7C6354CF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50333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62.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8D98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4E247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DA2FA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13.2.2024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27FD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13.2.2027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E5B9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77.820,00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9C10C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ALTAIR EAGLE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3BD41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KUPOPRODAJNI UGOVOR -GRAĐEVINSKO ZEMLJIŠTE PODI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3781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OV-974/2024</w:t>
            </w:r>
          </w:p>
        </w:tc>
      </w:tr>
      <w:tr w:rsidR="001F5A9F" w:rsidRPr="00FE6FEE" w14:paraId="3A52CF60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9817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63.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A853E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A6813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GIUN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B7970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14.3.2024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90FE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19.5.2028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52F0A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6.267,00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E6D5D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EURO - V.A.L.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6622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 xml:space="preserve">Opremanje Regionalnog znanstvenog centra- projekt </w:t>
            </w:r>
            <w:proofErr w:type="spellStart"/>
            <w:r w:rsidRPr="00FE6FEE">
              <w:rPr>
                <w:rFonts w:ascii="Calibri" w:hAnsi="Calibri" w:cs="Calibri"/>
                <w:sz w:val="22"/>
                <w:szCs w:val="22"/>
              </w:rPr>
              <w:t>RaSTEM</w:t>
            </w:r>
            <w:proofErr w:type="spellEnd"/>
            <w:r w:rsidRPr="00FE6FEE">
              <w:rPr>
                <w:rFonts w:ascii="Calibri" w:hAnsi="Calibri" w:cs="Calibri"/>
                <w:sz w:val="22"/>
                <w:szCs w:val="22"/>
              </w:rPr>
              <w:t xml:space="preserve"> (KLASA: 406-03/23/23-01/19)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09C8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2404001511</w:t>
            </w:r>
          </w:p>
        </w:tc>
      </w:tr>
      <w:tr w:rsidR="001F5A9F" w:rsidRPr="00FE6FEE" w14:paraId="74A3B5C7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EA686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64.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B44DB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69A4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9A17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27.3.2024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23F58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2.2.2027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8EDE5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9.922,50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5509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BUILDING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22145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Projektna dokumentacija- Osnovna škola Ražine JN 40/23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7312C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2/2024-G-F2205010</w:t>
            </w:r>
          </w:p>
        </w:tc>
      </w:tr>
      <w:tr w:rsidR="001F5A9F" w:rsidRPr="00FE6FEE" w14:paraId="52A26743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1858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65.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D98F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10EC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71794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27.3.2024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45A7F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2.2.2027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49005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6.726,50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9F45E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BUILDING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49742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Projektna dokumentacija OŠ Vrpolje- JN 39/23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F9CFB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3/2024-G-F2205010</w:t>
            </w:r>
          </w:p>
        </w:tc>
      </w:tr>
      <w:tr w:rsidR="001F5A9F" w:rsidRPr="00FE6FEE" w14:paraId="34DDD925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604FA1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66.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DBA89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E0295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9E98C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30.1.2024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58615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5.2.2027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B05E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334.515,00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3EF4D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TEC GRADNJA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4C31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KUPOPRODAJNI UGOVOR- GRAĐ. ZEMLJIŠTE PODI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FD060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OV-642/2024</w:t>
            </w:r>
          </w:p>
        </w:tc>
      </w:tr>
      <w:tr w:rsidR="001F5A9F" w:rsidRPr="00FE6FEE" w14:paraId="3CB2E587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E031B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67.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0FC9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464FD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72E7E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29.1.2024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6F36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30.1.2027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4FE5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54.225,00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3DA7A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MEGA YACHT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562C2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KUPOPRODAJNI UGOVOR- ZEMLJIŠTE PODI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E8B6A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OV-945/2024</w:t>
            </w:r>
          </w:p>
        </w:tc>
      </w:tr>
      <w:tr w:rsidR="001F5A9F" w:rsidRPr="00FE6FEE" w14:paraId="643EA74E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1C37D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68.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9838F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DEBC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A933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8.2.2024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4FB7F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5.2.2027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0938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69.285,00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37BED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DASKA, društvo s ograničenom odgovornošću za trgovinu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A1051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KUPOPRODAJNI UGOVOR- ZEMLJIŠTE PODI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4C114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OV-773/2024</w:t>
            </w:r>
          </w:p>
        </w:tc>
      </w:tr>
      <w:tr w:rsidR="001F5A9F" w:rsidRPr="00FE6FEE" w14:paraId="7CFC24EA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A53A1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69.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3887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87D2F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61AD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5.2.2024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3159C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5.2.2027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E7B7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1.200.000,00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E453D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ZM-VIKOM d.o.o. za proizvodnju, konstrukcije i montažu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1021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KUPOPRODAJNI UGOVOR- ZEMLJIŠTE PODI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A4C4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OV-685/2024</w:t>
            </w:r>
          </w:p>
        </w:tc>
      </w:tr>
      <w:tr w:rsidR="001F5A9F" w:rsidRPr="00FE6FEE" w14:paraId="13F1BB26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2113E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70.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05582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14159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8DA6B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12.2.2024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407D7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7.2.2027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900D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113.805,00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140FE3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MORE NAUTIKA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651E8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KUPOPRODAJNI UGOVOR- ZEMLJIŠTE PODI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0203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OV-910/2024</w:t>
            </w:r>
          </w:p>
        </w:tc>
      </w:tr>
      <w:tr w:rsidR="001F5A9F" w:rsidRPr="00FE6FEE" w14:paraId="4B5E2F98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A5655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71.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2E825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4B307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F8F3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27.2.2024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76E59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23.2.2027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3726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150.000,00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B58C65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CANNA SOLUTIONS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BEBBA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KUPOPRODAJNI UGOVOR- ZEMLJIŠTE PODI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327FD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OV-1310/2024</w:t>
            </w:r>
          </w:p>
        </w:tc>
      </w:tr>
      <w:tr w:rsidR="001F5A9F" w:rsidRPr="00FE6FEE" w14:paraId="4D0796E8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54BCA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72.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D7064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17912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85F1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14.2.2024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4814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23.2.2027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70096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37.500,00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25D6C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LASAN SERVIS J.D.O.O.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ADCE7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KUPOPRODAJNI UGOVOR- ZEMLJIŠTE PODI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D65F0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OV-1011/2024</w:t>
            </w:r>
          </w:p>
        </w:tc>
      </w:tr>
      <w:tr w:rsidR="001F5A9F" w:rsidRPr="00FE6FEE" w14:paraId="6EE2E7C7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35318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73.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ABDF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15D0F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D9A3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15.3.2024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1588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8.3.2027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7E80F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75.000,00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25A37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PALETNO MJESTO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C3CF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KUPOPRODAJNI UGOVOR-ZEMLJIŠTE PODI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B561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OV-1795/2024</w:t>
            </w:r>
          </w:p>
        </w:tc>
      </w:tr>
      <w:tr w:rsidR="001F5A9F" w:rsidRPr="00FE6FEE" w14:paraId="065075B0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E2B05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74.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9299A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1D2BB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26D4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30.4.2024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75BA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23.4.2029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137F6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6.270,00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0BE15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LJEVAONICA UMJETNINA ALU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D1C78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Izrada i osmišljavanje eksponata za STEM park Faust Vrančić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DFC9E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5402419616</w:t>
            </w:r>
          </w:p>
        </w:tc>
      </w:tr>
      <w:tr w:rsidR="001F5A9F" w:rsidRPr="00FE6FEE" w14:paraId="6886A7FF" w14:textId="77777777" w:rsidTr="00FF05C4">
        <w:trPr>
          <w:gridAfter w:val="1"/>
          <w:wAfter w:w="12" w:type="dxa"/>
          <w:trHeight w:val="9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F963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75.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F2751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82437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3769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9.5.2024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CA2FF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31.7.2026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9EE2C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23.054,80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6EFA8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 xml:space="preserve">GEODETSKA MJERENJA društvo s ograničenom odgovornošću za geodetske </w:t>
            </w:r>
            <w:proofErr w:type="spellStart"/>
            <w:r w:rsidRPr="00FE6FEE">
              <w:rPr>
                <w:rFonts w:ascii="Calibri" w:hAnsi="Calibri" w:cs="Calibri"/>
                <w:sz w:val="22"/>
                <w:szCs w:val="22"/>
              </w:rPr>
              <w:t>pos</w:t>
            </w:r>
            <w:proofErr w:type="spellEnd"/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D1D9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Geodetske usluge 2024.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6592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24138280006</w:t>
            </w:r>
          </w:p>
        </w:tc>
      </w:tr>
      <w:tr w:rsidR="001F5A9F" w:rsidRPr="00FE6FEE" w14:paraId="57D38512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7CD6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76.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BF0A1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F2AD8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F8157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9.7.2024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5B847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7.5.2026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6939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5.685,92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8DC2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G.P.P. MIKIĆ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7284E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II. faza uređenja gradske plaže na Brodarici, KLASA: 406-01/18-02/05; URBROJ: 2182/01-06-19-15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18FB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54023431410</w:t>
            </w:r>
          </w:p>
        </w:tc>
      </w:tr>
      <w:tr w:rsidR="001F5A9F" w:rsidRPr="00FE6FEE" w14:paraId="51690B6D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4EDB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77.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4047B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F0C273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8A2B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23.9.2024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6785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21.2.2026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931D6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6.244,90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DC26C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BEMIX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C86DC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Protupožarne prosjeke/putevi (Evanđelje-</w:t>
            </w:r>
            <w:proofErr w:type="spellStart"/>
            <w:r w:rsidRPr="00FE6FEE">
              <w:rPr>
                <w:rFonts w:ascii="Calibri" w:hAnsi="Calibri" w:cs="Calibri"/>
                <w:sz w:val="22"/>
                <w:szCs w:val="22"/>
              </w:rPr>
              <w:t>Musina</w:t>
            </w:r>
            <w:proofErr w:type="spellEnd"/>
            <w:r w:rsidRPr="00FE6FEE">
              <w:rPr>
                <w:rFonts w:ascii="Calibri" w:hAnsi="Calibri" w:cs="Calibri"/>
                <w:sz w:val="22"/>
                <w:szCs w:val="22"/>
              </w:rPr>
              <w:t xml:space="preserve"> lokva)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7F18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2404005754</w:t>
            </w:r>
          </w:p>
        </w:tc>
      </w:tr>
      <w:tr w:rsidR="001F5A9F" w:rsidRPr="00FE6FEE" w14:paraId="698A666F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E8307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78.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803D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D9562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B15C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7.10.2024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F0D3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31.3.2026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AF15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253.016,90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8961D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JUKIĆ-DAM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7B104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Energetska obnova zgrade Osnovne škole Petra Krešimira IV. Šibenik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2D57B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459-0200-4590012911</w:t>
            </w:r>
          </w:p>
        </w:tc>
      </w:tr>
      <w:tr w:rsidR="001F5A9F" w:rsidRPr="00FE6FEE" w14:paraId="065CC67A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88AC8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79.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50A39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9FE5B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D6B7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13.11.2024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4F711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24.10.2026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B3660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3.832,31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5E54D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RELIANCE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89ED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Sanacija konstrukcije zgrade zatvorenog bazena ŠC Ljubica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22211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4101169797</w:t>
            </w:r>
          </w:p>
        </w:tc>
      </w:tr>
      <w:tr w:rsidR="001F5A9F" w:rsidRPr="00FE6FEE" w14:paraId="4D0518C3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6FC9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80.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85885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CB8C9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Garancija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DCF7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29.11.2024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6D6BD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15.11.2026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FD06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6.697,12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7A03F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KING ICT D.O.O., ZAGREB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F5DAD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Implementacija sustava video nadzora javnih površina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93CF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562506</w:t>
            </w:r>
          </w:p>
        </w:tc>
      </w:tr>
      <w:tr w:rsidR="001F5A9F" w:rsidRPr="00FE6FEE" w14:paraId="555706AD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3D7D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81.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CD301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BBF24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944A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31.12.2024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CD9B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31.12.2029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85FB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248.850,00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9C2E4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METAL PRODUKT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A8CC0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KUPOPRODAJNI UGOVOR- ZEMLJIŠTE PODI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8587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OV-4587/2023</w:t>
            </w:r>
          </w:p>
        </w:tc>
      </w:tr>
      <w:tr w:rsidR="001F5A9F" w:rsidRPr="00FE6FEE" w14:paraId="0E933C52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A80A3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82.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9BDBF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21DE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51B69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16.5.2024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D6242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16.5.2027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36DF6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150.000,00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26A6B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ELEKTRO-AB, VL.BURA ANTE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D6FBB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KUPOPRODAJNI UGOVOR PODI KČ.BR.1306/173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83AD1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OV-3565/2024</w:t>
            </w:r>
          </w:p>
        </w:tc>
      </w:tr>
      <w:tr w:rsidR="001F5A9F" w:rsidRPr="00FE6FEE" w14:paraId="5F006B41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7DD2C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83.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0C16F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94F6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Bjanko zadužnica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713A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16.5.2024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AD31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16.5.2027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906A1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150.000,00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42438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ELEKTRO-AB, VL.BURA ANTE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4753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KUPOPRODAJNI UGOVOR PODI KČ.BR. 1306/173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B1B88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FE6FEE">
              <w:rPr>
                <w:rFonts w:ascii="Calibri" w:hAnsi="Calibri" w:cs="Calibri"/>
                <w:sz w:val="22"/>
                <w:szCs w:val="22"/>
              </w:rPr>
              <w:t>OV-3566/2024</w:t>
            </w:r>
          </w:p>
        </w:tc>
      </w:tr>
      <w:tr w:rsidR="001F5A9F" w:rsidRPr="00FE6FEE" w14:paraId="3CF9EE10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1F8B8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84.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7CD7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26D3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B534D9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14.1.2025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B9162A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28.1.2028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41EF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8.517,29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7545D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TEC GRADNJA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0648D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Uređenje ceste za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Studenstki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centar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24345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F2202020</w:t>
            </w:r>
          </w:p>
        </w:tc>
      </w:tr>
      <w:tr w:rsidR="001F5A9F" w:rsidRPr="00FE6FEE" w14:paraId="065C429E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2EB59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85.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F8B97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F00E1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59EFA9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11.2.2025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4BF5AC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13.9.2029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C81B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15.050,10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A8B56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CON FORMO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43F03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Uređenje Gradske vijećnice -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IV.faza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6204B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5402468123</w:t>
            </w:r>
          </w:p>
        </w:tc>
      </w:tr>
      <w:tr w:rsidR="001F5A9F" w:rsidRPr="00FE6FEE" w14:paraId="21006AF7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74625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86.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EE881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E8A3D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BJZAD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15640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17.1.2025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B6C07A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1.1.2028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02B91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83D77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DJELO VODICE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ECB7F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Bjanko zadužnica za zakup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5AFF4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OV-355/2025</w:t>
            </w:r>
          </w:p>
        </w:tc>
      </w:tr>
      <w:tr w:rsidR="001F5A9F" w:rsidRPr="00FE6FEE" w14:paraId="19D35961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4383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87.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E199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937E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BJZAD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12AEFF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2.4.2025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D0662B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2.4.2030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C714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C2EC6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VIZ-EX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F471C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Jamstvo za uredno izvršenje ugovora - Nabava usluge glavnog i izvedbenog projekta Centar za mlade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CCB6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OV-116/2024</w:t>
            </w:r>
          </w:p>
        </w:tc>
      </w:tr>
      <w:tr w:rsidR="001F5A9F" w:rsidRPr="00FE6FEE" w14:paraId="677BD792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188B7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88.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AC55E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67BBA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GISPU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960B58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28.4.2025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3E1279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15.2.2026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578E3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16.780,86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F6A64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BEMIX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5689C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Izgradnja nogostupa u Ulici Bribirskih knezova, Šibenik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14F4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2504002602</w:t>
            </w:r>
          </w:p>
        </w:tc>
      </w:tr>
      <w:tr w:rsidR="001F5A9F" w:rsidRPr="00FE6FEE" w14:paraId="442F9903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09E87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89.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7CA5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8A2C6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6E347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29.5.2025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DA15E6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26.5.2030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87032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66.817,49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91C17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MINIGRADNJA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B7F68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Uređenje kupališta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Jadrija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7A76E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G/1273/25</w:t>
            </w:r>
          </w:p>
        </w:tc>
      </w:tr>
      <w:tr w:rsidR="001F5A9F" w:rsidRPr="00FE6FEE" w14:paraId="2AEC28C9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0DEAE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90.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FA299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B49C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BJZAD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9ED52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9.6.2025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24C0F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9.4.2026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6CE38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6139C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VIZ-EX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1BC8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Jamstvo za uredno izvršenje ugovora - Glavni i izvedbeni projekt revitalizacije Dvostrukog bedema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D9E32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OV-1444/2024</w:t>
            </w:r>
          </w:p>
        </w:tc>
      </w:tr>
      <w:tr w:rsidR="001F5A9F" w:rsidRPr="00FE6FEE" w14:paraId="7AA3CF01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E563C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91.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31FBC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94A80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GISPU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FF1139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1.7.2025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449B24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12.6.2026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00690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50.122,91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B01A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CESTE ŠIBENIK, društvo za održavanje i zaštitu cesta, građevinarstvo i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0BF72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Redovno održavanje nerazvrstanih cesta - GRUPA 1 (dodatak ugovoru od 02.05.2025.)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16756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4101200188</w:t>
            </w:r>
          </w:p>
        </w:tc>
      </w:tr>
      <w:tr w:rsidR="001F5A9F" w:rsidRPr="00FE6FEE" w14:paraId="52604BCC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49559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92.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65885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2CC05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GISPU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B5C56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31.7.2025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7238D1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1.6.2026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FA812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53.807,77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92C6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MINIGRADNJA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693B9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Uređenje lokacije Vanjski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FF75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G/1743/25</w:t>
            </w:r>
          </w:p>
        </w:tc>
      </w:tr>
      <w:tr w:rsidR="001F5A9F" w:rsidRPr="00FE6FEE" w14:paraId="081DFFD3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48BBB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93.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56E0F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1D42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3597C4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20.8.2025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0C16BD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28.9.2028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1370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43.862,42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384C9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TEC GRADNJA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DE7F1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Rekonstrukcija Ulice 3.studenog 1944. - 1.dio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BF61F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5402504212</w:t>
            </w:r>
          </w:p>
        </w:tc>
      </w:tr>
      <w:tr w:rsidR="001F5A9F" w:rsidRPr="00FE6FEE" w14:paraId="582C16F2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EBF2E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94.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1888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6FF811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8C7E2A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12.9.2025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D0F0DE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28.8.2029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B545C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108.147,54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43721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INOVATOR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7C7AB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Proširenje Dječjeg vrtića Šibenski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tići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- 1. dio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7C148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17/2025-G-F2202020</w:t>
            </w:r>
          </w:p>
        </w:tc>
      </w:tr>
      <w:tr w:rsidR="001F5A9F" w:rsidRPr="00FE6FEE" w14:paraId="24730A39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9199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95.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D7308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6DD59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7787D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12.9.2025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C6388F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28.8.2030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74CE6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1EC9B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INOVATOR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2C4C6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Proširenje Dječjeg vrtića Šibenski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tići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- 2. dio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7C526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17/2025-G-F2202020</w:t>
            </w:r>
          </w:p>
        </w:tc>
      </w:tr>
      <w:tr w:rsidR="001F5A9F" w:rsidRPr="00FE6FEE" w14:paraId="350E7813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BF26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96.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EBD5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61C84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GISPU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D55A9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18.9.2025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DC16A0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10.7.2027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CD6F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22.492,00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B059B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EKONERG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6F797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Projektna i studijska dokumentacija - energetska oporaba goriva iz otpada i muljeva "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Bikarac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" - 1.dio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944B0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 br. 572166</w:t>
            </w:r>
          </w:p>
        </w:tc>
      </w:tr>
      <w:tr w:rsidR="001F5A9F" w:rsidRPr="00FE6FEE" w14:paraId="119676D4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213D6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97.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D83B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F2E18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GISPU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C25D38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18.9.2025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7F0622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10.7.2027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1B298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61.508,00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16194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EKONERG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D5B4A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Projektna i studijska dokumentacija - energetska </w:t>
            </w: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oporaba goriva iz otpada i muljeva "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Bikarac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" - 2.dio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14DE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Garancija br. 2504005803</w:t>
            </w:r>
          </w:p>
        </w:tc>
      </w:tr>
      <w:tr w:rsidR="001F5A9F" w:rsidRPr="00FE6FEE" w14:paraId="6F6D3A0C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969A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98.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7D05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405FD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GISPU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88FF8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24.9.2025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7FC06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31.7.2026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C77B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30.960,00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09023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AUTOTRANSPORT D.D.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3A7D3C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Prijevoz učenika za III. grupu 2025./2026.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7519D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 br. 2504005915</w:t>
            </w:r>
          </w:p>
        </w:tc>
      </w:tr>
      <w:tr w:rsidR="001F5A9F" w:rsidRPr="00FE6FEE" w14:paraId="6E956854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8E29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99.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FA451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8D1E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GISPU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96941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1.12.2025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7B064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31.7.2026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6B4A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3.528,00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EC8F8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AUTOTRANSPORT D.D.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4C193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1. Aneks - Prijevoz učenika za III. grupu 2025./2026. - povećanje iznosa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0631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 br. 2504005915</w:t>
            </w:r>
          </w:p>
        </w:tc>
      </w:tr>
      <w:tr w:rsidR="001F5A9F" w:rsidRPr="00FE6FEE" w14:paraId="5BC25343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0409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100.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4AFE9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155B3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GISPU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5A2D84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24.9.2025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91129E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31.7.2026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4264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15.768,00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BDDE7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AUTOTRANSPORT D.D.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0D5A0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Prijevoz učenika za IV. grupu 2025./2026.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4442C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 br. 2504005913</w:t>
            </w:r>
          </w:p>
        </w:tc>
      </w:tr>
      <w:tr w:rsidR="001F5A9F" w:rsidRPr="00FE6FEE" w14:paraId="1031D8CA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01070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101.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89C7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88A0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GISPU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32859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21.10.2025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DFAC09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16.3.2026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7969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9.828,35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B9A12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CESTE ŠIBENIK, društvo za održavanje i zaštitu cesta, građevinarstvo i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6773B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Rekonstrukcija nerazvrstane prometnice do uvale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Koromašna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Žirje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DF4B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 br. 4101212704</w:t>
            </w:r>
          </w:p>
        </w:tc>
      </w:tr>
      <w:tr w:rsidR="001F5A9F" w:rsidRPr="00FE6FEE" w14:paraId="7A2E2D2B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56875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102.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92D2C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DACC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ZADUŽ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B4CBB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3.11.2025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4B5901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3.11.2028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A2689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29.925,65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94132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KING ICT D.O.O., ZAGREB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AF508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Održavanje sustava videonadzora javnih površina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B2107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OV-31576/2025</w:t>
            </w:r>
          </w:p>
        </w:tc>
      </w:tr>
      <w:tr w:rsidR="001F5A9F" w:rsidRPr="00FE6FEE" w14:paraId="65095A82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87D4B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103.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F8415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F0CF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GISPU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D1CE87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10.12.2025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ECE69D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24.1.2026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57D92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15.250,37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323E8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BEMIX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596867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Ugradnja podzemnih kontejnera po gradskim četvrtima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B10B4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 br. 2504007668</w:t>
            </w:r>
          </w:p>
        </w:tc>
      </w:tr>
      <w:tr w:rsidR="001F5A9F" w:rsidRPr="00FE6FEE" w14:paraId="70323A68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2194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104.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F0696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0929A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8FC835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18.12.2025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005951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17.7.2030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F5DE1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33.947,95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71585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ELEKTRO MUSTAPIĆ J.D.O.O.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56755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Uređenje Ulice Ivana Rendića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DF865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 br. G/2820/25</w:t>
            </w:r>
          </w:p>
        </w:tc>
      </w:tr>
      <w:tr w:rsidR="001F5A9F" w:rsidRPr="00FE6FEE" w14:paraId="2F18DF75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7907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105.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DA8E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57BF1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GISPU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A06DBF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24.12.2025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9EFDC6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2.10.2026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500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39.545,55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5DC24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LAGOM NATURA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F25F6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Nabava radova za izgradnju protupožarnih puteva na otocima: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Kapriju</w:t>
            </w:r>
            <w:proofErr w:type="spellEnd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Zlarinu, </w:t>
            </w:r>
            <w:proofErr w:type="spellStart"/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Žirju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41E5C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Garancija br. 5402527686</w:t>
            </w:r>
          </w:p>
        </w:tc>
      </w:tr>
      <w:tr w:rsidR="001F5A9F" w:rsidRPr="00FE6FEE" w14:paraId="388A3144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414F0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106.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1192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AFD38C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BJZAD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5399E5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3.2.2025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43BFBA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3.2.2027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1F451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AA93B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KARINA BAREŠA VL. OBRTA LOLA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F2BAA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KONCECIJA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F0C389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OV-756/2025</w:t>
            </w:r>
          </w:p>
        </w:tc>
      </w:tr>
      <w:tr w:rsidR="001F5A9F" w:rsidRPr="00FE6FEE" w14:paraId="60088438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90D70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107.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95A21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7782C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BJZAD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E0D7E5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3.2.2025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C75099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3.2.2027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6BC05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EC3B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KARINA BAREŠA VL. OBRTA LOLA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68065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KONCESIJA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C8524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OV-754/2025</w:t>
            </w:r>
          </w:p>
        </w:tc>
      </w:tr>
      <w:tr w:rsidR="001F5A9F" w:rsidRPr="00FE6FEE" w14:paraId="565E6D9E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534C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108.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87A23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720F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BJZAD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67E59E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4.3.2025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0A20F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4.3.2027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B5F41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962CE2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MIHAELA SLADIĆ, VL. TRGOVAČKOG OBRTA D&amp;K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8AC0C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KONCESIJA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12554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OV-1139/2025</w:t>
            </w:r>
          </w:p>
        </w:tc>
      </w:tr>
      <w:tr w:rsidR="001F5A9F" w:rsidRPr="00FE6FEE" w14:paraId="4689176F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024A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109.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AB2E3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184D6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BJZAD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5DE0A1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6.3.2025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F382A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6.3.2027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9A552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CC1DEA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SVETINKA BANOVAC, VL. UGOSTITELJSKOG OBRTA PUNTIN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88C2C8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KONCESIJA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A5390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OV-2240/2025</w:t>
            </w:r>
          </w:p>
        </w:tc>
      </w:tr>
      <w:tr w:rsidR="001F5A9F" w:rsidRPr="00FE6FEE" w14:paraId="5942612A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4D42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110.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5C3D1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A0F33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BJZAD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9FB74F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6.3.2025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48373A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6.3.2027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7B8AA2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2252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ANITA BANOVAC, VL. UGOSTITELJSKOG OBRTA BALTT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D8C4E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KONCESIJA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79DE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OV-1296/2025</w:t>
            </w:r>
          </w:p>
        </w:tc>
      </w:tr>
      <w:tr w:rsidR="001F5A9F" w:rsidRPr="00FE6FEE" w14:paraId="64A94D8A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9680D1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111.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8B5B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C09EA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BJZAD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94213A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6.3.2025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CB6165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6.3.2027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6449C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6FAC03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KLUB JEDRENJA NA DASCI "JADRIJA" ŠIBENIK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26E2EE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KONCESIJA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DC976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OV-1762/2025</w:t>
            </w:r>
          </w:p>
        </w:tc>
      </w:tr>
      <w:tr w:rsidR="001F5A9F" w:rsidRPr="00FE6FEE" w14:paraId="687139E0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10A28A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112.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38683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01F46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BJZAD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09A362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12.3.2025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CD8E2B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12.3.2027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D3B78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33939F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IVANA  NANJARA VL. OBRTA ZA USLUGE B-INTERIJERI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B2EE2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KONCESIJA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78BF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OV-1302/2025</w:t>
            </w:r>
          </w:p>
        </w:tc>
      </w:tr>
      <w:tr w:rsidR="001F5A9F" w:rsidRPr="00FE6FEE" w14:paraId="0F751B28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C63A9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113.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C2822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070C9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BJZAD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7A1C0E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17.3.2025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2F57D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17.3.2027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E0A34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EE5106C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PETRA SVIRČIĆ, VL. OBRTA MORE ŠEĆERA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B3BE1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KONCESIJA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90AE2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OV-2084/2025</w:t>
            </w:r>
          </w:p>
        </w:tc>
      </w:tr>
      <w:tr w:rsidR="001F5A9F" w:rsidRPr="00FE6FEE" w14:paraId="46F9577F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880E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114.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32F3D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A8332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BJZAD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BFC3C7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14.3.2025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663E3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14.3.2027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F2D6F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2D202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MARIJA GARMA, VL. UGOSTITELJSKOG OBRTA LANTERNA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37B6B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KONCESIJA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93A9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OV-2616/2025</w:t>
            </w:r>
          </w:p>
        </w:tc>
      </w:tr>
      <w:tr w:rsidR="001F5A9F" w:rsidRPr="00FE6FEE" w14:paraId="455EEF44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9E762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115.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27C04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079B1D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BJZAD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D67A08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18.3.2025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145E38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18.3.2027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6F77F6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5A0E9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JELENA KULAŠ, VL. OBRTA MIHAEL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EF1C1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KONCESIJA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145DC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OV-1404/2025</w:t>
            </w:r>
          </w:p>
        </w:tc>
      </w:tr>
      <w:tr w:rsidR="001F5A9F" w:rsidRPr="00FE6FEE" w14:paraId="6CB153CA" w14:textId="77777777" w:rsidTr="00FF05C4">
        <w:trPr>
          <w:gridAfter w:val="1"/>
          <w:wAfter w:w="12" w:type="dxa"/>
          <w:trHeight w:val="3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DD838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116.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2CD85A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74BFC7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BJZAD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EDE8EB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4.3.2025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D5EFB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4.3.2027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19455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A44FDB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GEBETSROITHER RESORTS D.O.O.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98494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KONCESIJA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3FA53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OV-1676/2025</w:t>
            </w:r>
          </w:p>
        </w:tc>
      </w:tr>
      <w:tr w:rsidR="001F5A9F" w:rsidRPr="00FE6FEE" w14:paraId="7F7BBA7D" w14:textId="77777777" w:rsidTr="00FF05C4">
        <w:trPr>
          <w:gridAfter w:val="1"/>
          <w:wAfter w:w="12" w:type="dxa"/>
          <w:trHeight w:val="600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E86A69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117.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72C11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724D90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BJZAD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16486F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23.5.2025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E589DD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23.5.2027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6BE53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10.000,00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204FB0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TONKO TUDIĆ, VL. OBRTA ZA UGOSTITELJSTVO TUDIĆ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9E1577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KONCESIJA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AA39E4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OV-2612/2025</w:t>
            </w:r>
          </w:p>
        </w:tc>
      </w:tr>
      <w:tr w:rsidR="001F5A9F" w:rsidRPr="00FE6FEE" w14:paraId="5D05CC0A" w14:textId="77777777" w:rsidTr="00FF05C4">
        <w:trPr>
          <w:gridAfter w:val="1"/>
          <w:wAfter w:w="12" w:type="dxa"/>
          <w:trHeight w:val="588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E455F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118.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A8200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K83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0C60B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ZADUŽ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A5B41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26.6.2025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2B9C7C" w14:textId="77777777" w:rsidR="001F5A9F" w:rsidRPr="00FE6FEE" w:rsidRDefault="001F5A9F" w:rsidP="00FF05C4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26.6.2026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1F3304" w14:textId="77777777" w:rsidR="001F5A9F" w:rsidRPr="00FE6FEE" w:rsidRDefault="001F5A9F" w:rsidP="00FF05C4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2.425,44</w:t>
            </w:r>
          </w:p>
        </w:tc>
        <w:tc>
          <w:tcPr>
            <w:tcW w:w="3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F4DE92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ADRIATIC OSIGURANJE D.D.</w:t>
            </w:r>
          </w:p>
        </w:tc>
        <w:tc>
          <w:tcPr>
            <w:tcW w:w="3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0B50C5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postupak Jednostavne nabave za usluge osiguranja imovine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266536" w14:textId="77777777" w:rsidR="001F5A9F" w:rsidRPr="00FE6FEE" w:rsidRDefault="001F5A9F" w:rsidP="00FF05C4">
            <w:pPr>
              <w:spacing w:after="0" w:line="240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E6FEE">
              <w:rPr>
                <w:rFonts w:ascii="Calibri" w:hAnsi="Calibri" w:cs="Calibri"/>
                <w:color w:val="000000"/>
                <w:sz w:val="22"/>
                <w:szCs w:val="22"/>
              </w:rPr>
              <w:t>OV-5810/2025</w:t>
            </w:r>
          </w:p>
        </w:tc>
      </w:tr>
    </w:tbl>
    <w:p w14:paraId="42718C8D" w14:textId="77777777" w:rsidR="001F5A9F" w:rsidRDefault="001F5A9F" w:rsidP="001F5A9F"/>
    <w:p w14:paraId="1929CCCD" w14:textId="77777777" w:rsidR="001F5A9F" w:rsidRDefault="001F5A9F" w:rsidP="001F5A9F"/>
    <w:p w14:paraId="73A28433" w14:textId="77777777" w:rsidR="001F5A9F" w:rsidRDefault="001F5A9F" w:rsidP="001F5A9F"/>
    <w:p w14:paraId="3CB68D6A" w14:textId="77777777" w:rsidR="001F5A9F" w:rsidRDefault="001F5A9F" w:rsidP="001F5A9F"/>
    <w:p w14:paraId="425C0322" w14:textId="77777777" w:rsidR="001F5A9F" w:rsidRDefault="001F5A9F" w:rsidP="001F5A9F"/>
    <w:p w14:paraId="5EF11135" w14:textId="77777777" w:rsidR="001F5A9F" w:rsidRDefault="001F5A9F" w:rsidP="001F5A9F"/>
    <w:p w14:paraId="612E00A2" w14:textId="77777777" w:rsidR="001F5A9F" w:rsidRDefault="001F5A9F" w:rsidP="001F5A9F"/>
    <w:p w14:paraId="3CDB33A6" w14:textId="77777777" w:rsidR="001F5A9F" w:rsidRDefault="001F5A9F" w:rsidP="001F5A9F"/>
    <w:tbl>
      <w:tblPr>
        <w:tblW w:w="14436" w:type="dxa"/>
        <w:tblLook w:val="04A0" w:firstRow="1" w:lastRow="0" w:firstColumn="1" w:lastColumn="0" w:noHBand="0" w:noVBand="1"/>
      </w:tblPr>
      <w:tblGrid>
        <w:gridCol w:w="2700"/>
        <w:gridCol w:w="1182"/>
        <w:gridCol w:w="4051"/>
        <w:gridCol w:w="1417"/>
        <w:gridCol w:w="2233"/>
        <w:gridCol w:w="1451"/>
        <w:gridCol w:w="1402"/>
      </w:tblGrid>
      <w:tr w:rsidR="001F5A9F" w:rsidRPr="00146FF0" w14:paraId="77C7C697" w14:textId="77777777" w:rsidTr="00FF05C4">
        <w:trPr>
          <w:trHeight w:val="82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40593741" w14:textId="77777777" w:rsidR="001F5A9F" w:rsidRPr="00146FF0" w:rsidRDefault="001F5A9F" w:rsidP="00FF05C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46FF0">
              <w:rPr>
                <w:b/>
                <w:bCs/>
                <w:sz w:val="22"/>
                <w:szCs w:val="22"/>
              </w:rPr>
              <w:t>NAZIV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9A98B2F" w14:textId="77777777" w:rsidR="001F5A9F" w:rsidRPr="00146FF0" w:rsidRDefault="001F5A9F" w:rsidP="00FF05C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46FF0">
              <w:rPr>
                <w:b/>
                <w:bCs/>
                <w:sz w:val="22"/>
                <w:szCs w:val="22"/>
              </w:rPr>
              <w:t>OZNAKA SPORA</w:t>
            </w:r>
          </w:p>
        </w:tc>
        <w:tc>
          <w:tcPr>
            <w:tcW w:w="4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384D6A5C" w14:textId="77777777" w:rsidR="001F5A9F" w:rsidRPr="00146FF0" w:rsidRDefault="001F5A9F" w:rsidP="00FF05C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46FF0">
              <w:rPr>
                <w:b/>
                <w:bCs/>
                <w:sz w:val="22"/>
                <w:szCs w:val="22"/>
              </w:rPr>
              <w:t>SAŽETI OPIS PRIRODE SPORA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0CF60E90" w14:textId="77777777" w:rsidR="001F5A9F" w:rsidRPr="00146FF0" w:rsidRDefault="001F5A9F" w:rsidP="00FF05C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46FF0">
              <w:rPr>
                <w:b/>
                <w:bCs/>
                <w:sz w:val="22"/>
                <w:szCs w:val="22"/>
              </w:rPr>
              <w:t>STATUS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6995432" w14:textId="77777777" w:rsidR="001F5A9F" w:rsidRPr="00146FF0" w:rsidRDefault="001F5A9F" w:rsidP="00FF05C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46FF0">
              <w:rPr>
                <w:b/>
                <w:bCs/>
                <w:sz w:val="22"/>
                <w:szCs w:val="22"/>
              </w:rPr>
              <w:t>IMOVINA/OBVEZA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33FF09C" w14:textId="77777777" w:rsidR="001F5A9F" w:rsidRPr="00146FF0" w:rsidRDefault="001F5A9F" w:rsidP="00FF05C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46FF0">
              <w:rPr>
                <w:b/>
                <w:bCs/>
                <w:sz w:val="22"/>
                <w:szCs w:val="22"/>
              </w:rPr>
              <w:t>DOSPIJEĆE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center"/>
            <w:hideMark/>
          </w:tcPr>
          <w:p w14:paraId="56FE6078" w14:textId="77777777" w:rsidR="001F5A9F" w:rsidRPr="00146FF0" w:rsidRDefault="001F5A9F" w:rsidP="00FF05C4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146FF0">
              <w:rPr>
                <w:b/>
                <w:bCs/>
                <w:sz w:val="22"/>
                <w:szCs w:val="22"/>
              </w:rPr>
              <w:t>IZNOS GLAVNICE</w:t>
            </w:r>
          </w:p>
        </w:tc>
      </w:tr>
      <w:tr w:rsidR="001F5A9F" w:rsidRPr="00146FF0" w14:paraId="07BAFE2D" w14:textId="77777777" w:rsidTr="00FF05C4">
        <w:trPr>
          <w:trHeight w:val="6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1A7761" w14:textId="77777777" w:rsidR="001F5A9F" w:rsidRPr="00146FF0" w:rsidRDefault="001F5A9F" w:rsidP="00FF05C4">
            <w:pPr>
              <w:spacing w:after="0" w:line="240" w:lineRule="auto"/>
              <w:rPr>
                <w:sz w:val="22"/>
                <w:szCs w:val="22"/>
              </w:rPr>
            </w:pPr>
            <w:r w:rsidRPr="00146FF0">
              <w:rPr>
                <w:sz w:val="22"/>
                <w:szCs w:val="22"/>
              </w:rPr>
              <w:t>Fizička osoba 1, Šibenik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2AD11" w14:textId="77777777" w:rsidR="001F5A9F" w:rsidRPr="00146FF0" w:rsidRDefault="001F5A9F" w:rsidP="00FF05C4">
            <w:pPr>
              <w:spacing w:after="0" w:line="240" w:lineRule="auto"/>
              <w:rPr>
                <w:sz w:val="22"/>
                <w:szCs w:val="22"/>
              </w:rPr>
            </w:pPr>
            <w:r w:rsidRPr="00146FF0">
              <w:rPr>
                <w:sz w:val="22"/>
                <w:szCs w:val="22"/>
              </w:rPr>
              <w:t>P-672/13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961D12" w14:textId="77777777" w:rsidR="001F5A9F" w:rsidRPr="00146FF0" w:rsidRDefault="001F5A9F" w:rsidP="00FF05C4">
            <w:pPr>
              <w:spacing w:after="0" w:line="240" w:lineRule="auto"/>
              <w:rPr>
                <w:sz w:val="22"/>
                <w:szCs w:val="22"/>
              </w:rPr>
            </w:pPr>
            <w:r w:rsidRPr="00146FF0">
              <w:rPr>
                <w:sz w:val="22"/>
                <w:szCs w:val="22"/>
              </w:rPr>
              <w:t>Naknada štete od požara prouzrokovanog djelatnošću tvrtke u vlasništvu Grada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628B5" w14:textId="77777777" w:rsidR="001F5A9F" w:rsidRPr="00146FF0" w:rsidRDefault="001F5A9F" w:rsidP="00FF05C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46FF0">
              <w:rPr>
                <w:sz w:val="22"/>
                <w:szCs w:val="22"/>
              </w:rPr>
              <w:t>Tuženik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4A8EE" w14:textId="77777777" w:rsidR="001F5A9F" w:rsidRPr="00146FF0" w:rsidRDefault="001F5A9F" w:rsidP="00FF05C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46FF0">
              <w:rPr>
                <w:sz w:val="22"/>
                <w:szCs w:val="22"/>
              </w:rPr>
              <w:t>Obveza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191FE" w14:textId="77777777" w:rsidR="001F5A9F" w:rsidRPr="00146FF0" w:rsidRDefault="001F5A9F" w:rsidP="00FF05C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46FF0">
              <w:rPr>
                <w:sz w:val="22"/>
                <w:szCs w:val="22"/>
              </w:rPr>
              <w:t>2028.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0AADD0" w14:textId="77777777" w:rsidR="001F5A9F" w:rsidRPr="00146FF0" w:rsidRDefault="001F5A9F" w:rsidP="00FF05C4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146FF0">
              <w:rPr>
                <w:sz w:val="22"/>
                <w:szCs w:val="22"/>
              </w:rPr>
              <w:t>22.618,62</w:t>
            </w:r>
          </w:p>
        </w:tc>
      </w:tr>
      <w:tr w:rsidR="001F5A9F" w:rsidRPr="00146FF0" w14:paraId="2B04BD36" w14:textId="77777777" w:rsidTr="00FF05C4">
        <w:trPr>
          <w:trHeight w:val="6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5B055" w14:textId="77777777" w:rsidR="001F5A9F" w:rsidRPr="00146FF0" w:rsidRDefault="001F5A9F" w:rsidP="00FF05C4">
            <w:pPr>
              <w:spacing w:after="0" w:line="240" w:lineRule="auto"/>
              <w:rPr>
                <w:sz w:val="22"/>
                <w:szCs w:val="22"/>
              </w:rPr>
            </w:pPr>
            <w:r w:rsidRPr="00146FF0">
              <w:rPr>
                <w:sz w:val="22"/>
                <w:szCs w:val="22"/>
              </w:rPr>
              <w:t>Fizička osoba 2, Šibenik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A7841" w14:textId="77777777" w:rsidR="001F5A9F" w:rsidRPr="00146FF0" w:rsidRDefault="001F5A9F" w:rsidP="00FF05C4">
            <w:pPr>
              <w:spacing w:after="0" w:line="240" w:lineRule="auto"/>
              <w:rPr>
                <w:sz w:val="22"/>
                <w:szCs w:val="22"/>
              </w:rPr>
            </w:pPr>
            <w:r w:rsidRPr="00146FF0">
              <w:rPr>
                <w:sz w:val="22"/>
                <w:szCs w:val="22"/>
              </w:rPr>
              <w:t>P-2191/16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244B7B" w14:textId="77777777" w:rsidR="001F5A9F" w:rsidRPr="00146FF0" w:rsidRDefault="001F5A9F" w:rsidP="00FF05C4">
            <w:pPr>
              <w:spacing w:after="0" w:line="240" w:lineRule="auto"/>
              <w:rPr>
                <w:sz w:val="22"/>
                <w:szCs w:val="22"/>
              </w:rPr>
            </w:pPr>
            <w:r w:rsidRPr="00146FF0">
              <w:rPr>
                <w:sz w:val="22"/>
                <w:szCs w:val="22"/>
              </w:rPr>
              <w:t>Vlasnička tužba sa zahtjevom da se nekretnina vrati u posjed tužitelja ili isplati njezina vrijednost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05685" w14:textId="77777777" w:rsidR="001F5A9F" w:rsidRPr="00146FF0" w:rsidRDefault="001F5A9F" w:rsidP="00FF05C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46FF0">
              <w:rPr>
                <w:sz w:val="22"/>
                <w:szCs w:val="22"/>
              </w:rPr>
              <w:t>Tuženik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405F0" w14:textId="77777777" w:rsidR="001F5A9F" w:rsidRPr="00146FF0" w:rsidRDefault="001F5A9F" w:rsidP="00FF05C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46FF0">
              <w:rPr>
                <w:sz w:val="22"/>
                <w:szCs w:val="22"/>
              </w:rPr>
              <w:t>Obveza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47597" w14:textId="77777777" w:rsidR="001F5A9F" w:rsidRPr="00146FF0" w:rsidRDefault="001F5A9F" w:rsidP="00FF05C4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46FF0">
              <w:rPr>
                <w:sz w:val="22"/>
                <w:szCs w:val="22"/>
              </w:rPr>
              <w:t>2027.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024E9" w14:textId="77777777" w:rsidR="001F5A9F" w:rsidRPr="00146FF0" w:rsidRDefault="001F5A9F" w:rsidP="00FF05C4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146FF0">
              <w:rPr>
                <w:sz w:val="22"/>
                <w:szCs w:val="22"/>
              </w:rPr>
              <w:t>66.361,53</w:t>
            </w:r>
          </w:p>
        </w:tc>
      </w:tr>
    </w:tbl>
    <w:p w14:paraId="6FDB8DCA" w14:textId="77777777" w:rsidR="001F5A9F" w:rsidRDefault="001F5A9F" w:rsidP="001F5A9F"/>
    <w:p w14:paraId="2DFA51F7" w14:textId="77777777" w:rsidR="001F5A9F" w:rsidRDefault="001F5A9F" w:rsidP="003B2365">
      <w:pPr>
        <w:spacing w:line="240" w:lineRule="auto"/>
      </w:pPr>
    </w:p>
    <w:p w14:paraId="3861E05A" w14:textId="77777777" w:rsidR="001F5A9F" w:rsidRDefault="001F5A9F" w:rsidP="003B2365">
      <w:pPr>
        <w:spacing w:line="240" w:lineRule="auto"/>
      </w:pPr>
    </w:p>
    <w:p w14:paraId="01B58E35" w14:textId="77777777" w:rsidR="001F5A9F" w:rsidRDefault="001F5A9F" w:rsidP="003B2365">
      <w:pPr>
        <w:spacing w:line="240" w:lineRule="auto"/>
      </w:pPr>
    </w:p>
    <w:sectPr w:rsidR="001F5A9F" w:rsidSect="001F5A9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550DF"/>
    <w:multiLevelType w:val="hybridMultilevel"/>
    <w:tmpl w:val="7BD88EA2"/>
    <w:lvl w:ilvl="0" w:tplc="DB90ADEC">
      <w:numFmt w:val="bullet"/>
      <w:lvlText w:val="-"/>
      <w:lvlJc w:val="left"/>
      <w:pPr>
        <w:ind w:left="15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449B2"/>
    <w:multiLevelType w:val="hybridMultilevel"/>
    <w:tmpl w:val="F6EC4C5C"/>
    <w:lvl w:ilvl="0" w:tplc="DB90ADEC">
      <w:numFmt w:val="bullet"/>
      <w:lvlText w:val="-"/>
      <w:lvlJc w:val="left"/>
      <w:pPr>
        <w:ind w:left="15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73708"/>
    <w:multiLevelType w:val="hybridMultilevel"/>
    <w:tmpl w:val="C6C0656A"/>
    <w:lvl w:ilvl="0" w:tplc="DB90ADEC">
      <w:numFmt w:val="bullet"/>
      <w:lvlText w:val="-"/>
      <w:lvlJc w:val="left"/>
      <w:pPr>
        <w:ind w:left="15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90CC5"/>
    <w:multiLevelType w:val="hybridMultilevel"/>
    <w:tmpl w:val="434039A2"/>
    <w:lvl w:ilvl="0" w:tplc="DB90ADEC">
      <w:numFmt w:val="bullet"/>
      <w:lvlText w:val="-"/>
      <w:lvlJc w:val="left"/>
      <w:pPr>
        <w:ind w:left="15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A2770"/>
    <w:multiLevelType w:val="hybridMultilevel"/>
    <w:tmpl w:val="35AC8D7C"/>
    <w:lvl w:ilvl="0" w:tplc="DB90ADEC">
      <w:numFmt w:val="bullet"/>
      <w:lvlText w:val="-"/>
      <w:lvlJc w:val="left"/>
      <w:pPr>
        <w:ind w:left="15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76366"/>
    <w:multiLevelType w:val="hybridMultilevel"/>
    <w:tmpl w:val="CBF2ACAA"/>
    <w:lvl w:ilvl="0" w:tplc="DB90ADEC">
      <w:numFmt w:val="bullet"/>
      <w:lvlText w:val="-"/>
      <w:lvlJc w:val="left"/>
      <w:pPr>
        <w:ind w:left="15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2" w:hanging="360"/>
      </w:pPr>
      <w:rPr>
        <w:rFonts w:ascii="Wingdings" w:hAnsi="Wingdings" w:hint="default"/>
      </w:rPr>
    </w:lvl>
  </w:abstractNum>
  <w:abstractNum w:abstractNumId="6" w15:restartNumberingAfterBreak="0">
    <w:nsid w:val="26C92291"/>
    <w:multiLevelType w:val="hybridMultilevel"/>
    <w:tmpl w:val="9BF47B6E"/>
    <w:lvl w:ilvl="0" w:tplc="DB90ADEC">
      <w:numFmt w:val="bullet"/>
      <w:lvlText w:val="-"/>
      <w:lvlJc w:val="left"/>
      <w:pPr>
        <w:ind w:left="15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214765"/>
    <w:multiLevelType w:val="hybridMultilevel"/>
    <w:tmpl w:val="519E9E8A"/>
    <w:lvl w:ilvl="0" w:tplc="DB90ADEC">
      <w:numFmt w:val="bullet"/>
      <w:lvlText w:val="-"/>
      <w:lvlJc w:val="left"/>
      <w:pPr>
        <w:ind w:left="15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121AD"/>
    <w:multiLevelType w:val="hybridMultilevel"/>
    <w:tmpl w:val="651ECD34"/>
    <w:lvl w:ilvl="0" w:tplc="DB90ADEC">
      <w:numFmt w:val="bullet"/>
      <w:lvlText w:val="-"/>
      <w:lvlJc w:val="left"/>
      <w:pPr>
        <w:ind w:left="15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55733A"/>
    <w:multiLevelType w:val="hybridMultilevel"/>
    <w:tmpl w:val="8306ECEA"/>
    <w:lvl w:ilvl="0" w:tplc="DB90ADEC">
      <w:numFmt w:val="bullet"/>
      <w:lvlText w:val="-"/>
      <w:lvlJc w:val="left"/>
      <w:pPr>
        <w:ind w:left="15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066FB"/>
    <w:multiLevelType w:val="hybridMultilevel"/>
    <w:tmpl w:val="C28C28E8"/>
    <w:name w:val="disc"/>
    <w:lvl w:ilvl="0" w:tplc="5A84FB28">
      <w:start w:val="1"/>
      <w:numFmt w:val="bullet"/>
      <w:lvlText w:val="•"/>
      <w:lvlJc w:val="left"/>
      <w:pPr>
        <w:ind w:left="720" w:hanging="360"/>
      </w:pPr>
    </w:lvl>
    <w:lvl w:ilvl="1" w:tplc="B14A0CE6">
      <w:start w:val="1"/>
      <w:numFmt w:val="bullet"/>
      <w:lvlText w:val="•"/>
      <w:lvlJc w:val="left"/>
      <w:pPr>
        <w:ind w:left="1440" w:hanging="360"/>
      </w:pPr>
    </w:lvl>
    <w:lvl w:ilvl="2" w:tplc="272AD550">
      <w:start w:val="1"/>
      <w:numFmt w:val="bullet"/>
      <w:lvlText w:val="•"/>
      <w:lvlJc w:val="left"/>
      <w:pPr>
        <w:ind w:left="2160" w:hanging="360"/>
      </w:pPr>
    </w:lvl>
    <w:lvl w:ilvl="3" w:tplc="05E0B630">
      <w:start w:val="1"/>
      <w:numFmt w:val="bullet"/>
      <w:lvlText w:val="•"/>
      <w:lvlJc w:val="left"/>
      <w:pPr>
        <w:ind w:left="2880" w:hanging="360"/>
      </w:pPr>
    </w:lvl>
    <w:lvl w:ilvl="4" w:tplc="088AEF30">
      <w:start w:val="1"/>
      <w:numFmt w:val="bullet"/>
      <w:lvlText w:val="•"/>
      <w:lvlJc w:val="left"/>
      <w:pPr>
        <w:ind w:left="3600" w:hanging="360"/>
      </w:pPr>
    </w:lvl>
    <w:lvl w:ilvl="5" w:tplc="C4C43E50">
      <w:start w:val="1"/>
      <w:numFmt w:val="bullet"/>
      <w:lvlText w:val="•"/>
      <w:lvlJc w:val="left"/>
      <w:pPr>
        <w:ind w:left="4320" w:hanging="360"/>
      </w:pPr>
    </w:lvl>
    <w:lvl w:ilvl="6" w:tplc="14E6438A">
      <w:start w:val="1"/>
      <w:numFmt w:val="bullet"/>
      <w:lvlText w:val="•"/>
      <w:lvlJc w:val="left"/>
      <w:pPr>
        <w:ind w:left="5040" w:hanging="360"/>
      </w:pPr>
    </w:lvl>
    <w:lvl w:ilvl="7" w:tplc="6244537E">
      <w:start w:val="1"/>
      <w:numFmt w:val="bullet"/>
      <w:lvlText w:val="•"/>
      <w:lvlJc w:val="left"/>
      <w:pPr>
        <w:ind w:left="5760" w:hanging="360"/>
      </w:pPr>
    </w:lvl>
    <w:lvl w:ilvl="8" w:tplc="7CA4FF04">
      <w:start w:val="1"/>
      <w:numFmt w:val="bullet"/>
      <w:lvlText w:val="•"/>
      <w:lvlJc w:val="left"/>
      <w:pPr>
        <w:ind w:left="6480" w:hanging="360"/>
      </w:pPr>
    </w:lvl>
  </w:abstractNum>
  <w:abstractNum w:abstractNumId="11" w15:restartNumberingAfterBreak="0">
    <w:nsid w:val="6FE85A41"/>
    <w:multiLevelType w:val="hybridMultilevel"/>
    <w:tmpl w:val="81F2B6B8"/>
    <w:lvl w:ilvl="0" w:tplc="DB90ADEC">
      <w:numFmt w:val="bullet"/>
      <w:lvlText w:val="-"/>
      <w:lvlJc w:val="left"/>
      <w:pPr>
        <w:ind w:left="15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8A14D7"/>
    <w:multiLevelType w:val="hybridMultilevel"/>
    <w:tmpl w:val="79BEFAF0"/>
    <w:lvl w:ilvl="0" w:tplc="DB90ADEC">
      <w:numFmt w:val="bullet"/>
      <w:lvlText w:val="-"/>
      <w:lvlJc w:val="left"/>
      <w:pPr>
        <w:ind w:left="1562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3120461">
    <w:abstractNumId w:val="10"/>
    <w:lvlOverride w:ilvl="0">
      <w:startOverride w:val="1"/>
    </w:lvlOverride>
  </w:num>
  <w:num w:numId="2" w16cid:durableId="545219967">
    <w:abstractNumId w:val="10"/>
    <w:lvlOverride w:ilvl="0">
      <w:startOverride w:val="1"/>
    </w:lvlOverride>
  </w:num>
  <w:num w:numId="3" w16cid:durableId="198131117">
    <w:abstractNumId w:val="10"/>
    <w:lvlOverride w:ilvl="0">
      <w:startOverride w:val="1"/>
    </w:lvlOverride>
  </w:num>
  <w:num w:numId="4" w16cid:durableId="363210584">
    <w:abstractNumId w:val="10"/>
    <w:lvlOverride w:ilvl="0">
      <w:startOverride w:val="1"/>
    </w:lvlOverride>
  </w:num>
  <w:num w:numId="5" w16cid:durableId="240793896">
    <w:abstractNumId w:val="10"/>
    <w:lvlOverride w:ilvl="0">
      <w:startOverride w:val="1"/>
    </w:lvlOverride>
  </w:num>
  <w:num w:numId="6" w16cid:durableId="1809081257">
    <w:abstractNumId w:val="10"/>
    <w:lvlOverride w:ilvl="0">
      <w:startOverride w:val="1"/>
    </w:lvlOverride>
  </w:num>
  <w:num w:numId="7" w16cid:durableId="39089225">
    <w:abstractNumId w:val="10"/>
  </w:num>
  <w:num w:numId="8" w16cid:durableId="505285487">
    <w:abstractNumId w:val="10"/>
    <w:lvlOverride w:ilvl="0">
      <w:startOverride w:val="1"/>
    </w:lvlOverride>
  </w:num>
  <w:num w:numId="9" w16cid:durableId="38359184">
    <w:abstractNumId w:val="10"/>
  </w:num>
  <w:num w:numId="10" w16cid:durableId="1529370322">
    <w:abstractNumId w:val="5"/>
  </w:num>
  <w:num w:numId="11" w16cid:durableId="324748155">
    <w:abstractNumId w:val="2"/>
  </w:num>
  <w:num w:numId="12" w16cid:durableId="134224513">
    <w:abstractNumId w:val="0"/>
  </w:num>
  <w:num w:numId="13" w16cid:durableId="1465850119">
    <w:abstractNumId w:val="9"/>
  </w:num>
  <w:num w:numId="14" w16cid:durableId="1482113865">
    <w:abstractNumId w:val="1"/>
  </w:num>
  <w:num w:numId="15" w16cid:durableId="496841908">
    <w:abstractNumId w:val="4"/>
  </w:num>
  <w:num w:numId="16" w16cid:durableId="1786802851">
    <w:abstractNumId w:val="6"/>
  </w:num>
  <w:num w:numId="17" w16cid:durableId="1629165545">
    <w:abstractNumId w:val="11"/>
  </w:num>
  <w:num w:numId="18" w16cid:durableId="502745068">
    <w:abstractNumId w:val="12"/>
  </w:num>
  <w:num w:numId="19" w16cid:durableId="1687094532">
    <w:abstractNumId w:val="3"/>
  </w:num>
  <w:num w:numId="20" w16cid:durableId="2037609470">
    <w:abstractNumId w:val="8"/>
  </w:num>
  <w:num w:numId="21" w16cid:durableId="5394416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31F"/>
    <w:rsid w:val="000617E2"/>
    <w:rsid w:val="000B3500"/>
    <w:rsid w:val="000E32CC"/>
    <w:rsid w:val="001F5A9F"/>
    <w:rsid w:val="002B11B1"/>
    <w:rsid w:val="0032487C"/>
    <w:rsid w:val="003B2365"/>
    <w:rsid w:val="00423345"/>
    <w:rsid w:val="004B2FA9"/>
    <w:rsid w:val="00783B3F"/>
    <w:rsid w:val="007918E5"/>
    <w:rsid w:val="007D2090"/>
    <w:rsid w:val="00C2431F"/>
    <w:rsid w:val="00C76BC5"/>
    <w:rsid w:val="00E65688"/>
    <w:rsid w:val="00E929DB"/>
    <w:rsid w:val="00EB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D04A5"/>
  <w15:docId w15:val="{7620839E-7B7F-46AE-B9B1-9F79EB4D2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hr-HR" w:eastAsia="hr-HR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1F5A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1F5A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1F5A9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1F5A9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1F5A9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1F5A9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1F5A9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1F5A9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1F5A9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uiPriority w:val="34"/>
    <w:qFormat/>
    <w:pPr>
      <w:spacing w:after="0" w:line="240" w:lineRule="auto"/>
      <w:ind w:left="720"/>
      <w:contextualSpacing/>
    </w:pPr>
  </w:style>
  <w:style w:type="character" w:customStyle="1" w:styleId="Naslov1Char">
    <w:name w:val="Naslov 1 Char"/>
    <w:basedOn w:val="Zadanifontodlomka"/>
    <w:link w:val="Naslov1"/>
    <w:uiPriority w:val="9"/>
    <w:rsid w:val="001F5A9F"/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1F5A9F"/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1F5A9F"/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1F5A9F"/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1F5A9F"/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1F5A9F"/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1F5A9F"/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1F5A9F"/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1F5A9F"/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Naslov">
    <w:name w:val="Title"/>
    <w:basedOn w:val="Normal"/>
    <w:next w:val="Normal"/>
    <w:link w:val="NaslovChar"/>
    <w:uiPriority w:val="10"/>
    <w:qFormat/>
    <w:rsid w:val="001F5A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Char">
    <w:name w:val="Naslov Char"/>
    <w:basedOn w:val="Zadanifontodlomka"/>
    <w:link w:val="Naslov"/>
    <w:uiPriority w:val="10"/>
    <w:rsid w:val="001F5A9F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1F5A9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Char">
    <w:name w:val="Podnaslov Char"/>
    <w:basedOn w:val="Zadanifontodlomka"/>
    <w:link w:val="Podnaslov"/>
    <w:uiPriority w:val="11"/>
    <w:rsid w:val="001F5A9F"/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paragraph" w:styleId="Citat">
    <w:name w:val="Quote"/>
    <w:basedOn w:val="Normal"/>
    <w:next w:val="Normal"/>
    <w:link w:val="CitatChar"/>
    <w:uiPriority w:val="29"/>
    <w:qFormat/>
    <w:rsid w:val="001F5A9F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CitatChar">
    <w:name w:val="Citat Char"/>
    <w:basedOn w:val="Zadanifontodlomka"/>
    <w:link w:val="Citat"/>
    <w:uiPriority w:val="29"/>
    <w:rsid w:val="001F5A9F"/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styleId="Jakoisticanje">
    <w:name w:val="Intense Emphasis"/>
    <w:basedOn w:val="Zadanifontodlomka"/>
    <w:uiPriority w:val="21"/>
    <w:qFormat/>
    <w:rsid w:val="001F5A9F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1F5A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1F5A9F"/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styleId="Istaknutareferenca">
    <w:name w:val="Intense Reference"/>
    <w:basedOn w:val="Zadanifontodlomka"/>
    <w:uiPriority w:val="32"/>
    <w:qFormat/>
    <w:rsid w:val="001F5A9F"/>
    <w:rPr>
      <w:b/>
      <w:bCs/>
      <w:smallCaps/>
      <w:color w:val="0F4761" w:themeColor="accent1" w:themeShade="BF"/>
      <w:spacing w:val="5"/>
    </w:rPr>
  </w:style>
  <w:style w:type="character" w:styleId="Hiperveza">
    <w:name w:val="Hyperlink"/>
    <w:basedOn w:val="Zadanifontodlomka"/>
    <w:uiPriority w:val="99"/>
    <w:semiHidden/>
    <w:unhideWhenUsed/>
    <w:rsid w:val="001F5A9F"/>
    <w:rPr>
      <w:color w:val="467886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1F5A9F"/>
    <w:rPr>
      <w:color w:val="96607D"/>
      <w:u w:val="single"/>
    </w:rPr>
  </w:style>
  <w:style w:type="paragraph" w:customStyle="1" w:styleId="msonormal0">
    <w:name w:val="msonormal"/>
    <w:basedOn w:val="Normal"/>
    <w:rsid w:val="001F5A9F"/>
    <w:pPr>
      <w:spacing w:before="100" w:beforeAutospacing="1" w:after="100" w:afterAutospacing="1" w:line="240" w:lineRule="auto"/>
    </w:pPr>
    <w:rPr>
      <w:szCs w:val="24"/>
    </w:rPr>
  </w:style>
  <w:style w:type="paragraph" w:customStyle="1" w:styleId="xl63">
    <w:name w:val="xl63"/>
    <w:basedOn w:val="Normal"/>
    <w:rsid w:val="001F5A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D3E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64">
    <w:name w:val="xl64"/>
    <w:basedOn w:val="Normal"/>
    <w:rsid w:val="001F5A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D3E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65">
    <w:name w:val="xl65"/>
    <w:basedOn w:val="Normal"/>
    <w:rsid w:val="001F5A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D3E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66">
    <w:name w:val="xl66"/>
    <w:basedOn w:val="Normal"/>
    <w:rsid w:val="001F5A9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D3E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Cs w:val="24"/>
    </w:rPr>
  </w:style>
  <w:style w:type="paragraph" w:customStyle="1" w:styleId="xl67">
    <w:name w:val="xl67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hAnsi="Calibri" w:cs="Calibri"/>
      <w:szCs w:val="24"/>
    </w:rPr>
  </w:style>
  <w:style w:type="paragraph" w:customStyle="1" w:styleId="xl68">
    <w:name w:val="xl68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szCs w:val="24"/>
    </w:rPr>
  </w:style>
  <w:style w:type="paragraph" w:customStyle="1" w:styleId="xl69">
    <w:name w:val="xl69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szCs w:val="24"/>
    </w:rPr>
  </w:style>
  <w:style w:type="paragraph" w:customStyle="1" w:styleId="xl70">
    <w:name w:val="xl70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hAnsi="Calibri" w:cs="Calibri"/>
      <w:szCs w:val="24"/>
    </w:rPr>
  </w:style>
  <w:style w:type="paragraph" w:customStyle="1" w:styleId="xl71">
    <w:name w:val="xl71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hAnsi="Calibri" w:cs="Calibri"/>
      <w:szCs w:val="24"/>
    </w:rPr>
  </w:style>
  <w:style w:type="paragraph" w:customStyle="1" w:styleId="xl72">
    <w:name w:val="xl72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szCs w:val="24"/>
    </w:rPr>
  </w:style>
  <w:style w:type="paragraph" w:customStyle="1" w:styleId="xl73">
    <w:name w:val="xl73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hAnsi="Calibri" w:cs="Calibri"/>
      <w:szCs w:val="24"/>
    </w:rPr>
  </w:style>
  <w:style w:type="paragraph" w:customStyle="1" w:styleId="xl74">
    <w:name w:val="xl74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hAnsi="Calibri" w:cs="Calibri"/>
      <w:szCs w:val="24"/>
    </w:rPr>
  </w:style>
  <w:style w:type="paragraph" w:customStyle="1" w:styleId="xl75">
    <w:name w:val="xl75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szCs w:val="24"/>
    </w:rPr>
  </w:style>
  <w:style w:type="paragraph" w:customStyle="1" w:styleId="xl76">
    <w:name w:val="xl76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szCs w:val="24"/>
    </w:rPr>
  </w:style>
  <w:style w:type="paragraph" w:customStyle="1" w:styleId="xl77">
    <w:name w:val="xl77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hAnsi="Calibri" w:cs="Calibri"/>
      <w:szCs w:val="24"/>
    </w:rPr>
  </w:style>
  <w:style w:type="paragraph" w:customStyle="1" w:styleId="xl78">
    <w:name w:val="xl78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szCs w:val="24"/>
    </w:rPr>
  </w:style>
  <w:style w:type="paragraph" w:customStyle="1" w:styleId="xl79">
    <w:name w:val="xl79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szCs w:val="24"/>
    </w:rPr>
  </w:style>
  <w:style w:type="paragraph" w:customStyle="1" w:styleId="xl80">
    <w:name w:val="xl80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Calibri" w:hAnsi="Calibri" w:cs="Calibri"/>
      <w:szCs w:val="24"/>
    </w:rPr>
  </w:style>
  <w:style w:type="paragraph" w:customStyle="1" w:styleId="xl81">
    <w:name w:val="xl81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hAnsi="Calibri" w:cs="Calibri"/>
      <w:color w:val="000000"/>
      <w:szCs w:val="24"/>
    </w:rPr>
  </w:style>
  <w:style w:type="paragraph" w:customStyle="1" w:styleId="xl82">
    <w:name w:val="xl82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hAnsi="Calibri" w:cs="Calibri"/>
      <w:color w:val="000000"/>
      <w:szCs w:val="24"/>
    </w:rPr>
  </w:style>
  <w:style w:type="paragraph" w:customStyle="1" w:styleId="xl83">
    <w:name w:val="xl83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hAnsi="Calibri" w:cs="Calibri"/>
      <w:color w:val="000000"/>
      <w:szCs w:val="24"/>
    </w:rPr>
  </w:style>
  <w:style w:type="paragraph" w:customStyle="1" w:styleId="xl84">
    <w:name w:val="xl84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hAnsi="Calibri" w:cs="Calibri"/>
      <w:color w:val="000000"/>
      <w:szCs w:val="24"/>
    </w:rPr>
  </w:style>
  <w:style w:type="paragraph" w:customStyle="1" w:styleId="xl85">
    <w:name w:val="xl85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hAnsi="Calibri" w:cs="Calibri"/>
      <w:color w:val="000000"/>
      <w:szCs w:val="24"/>
    </w:rPr>
  </w:style>
  <w:style w:type="paragraph" w:customStyle="1" w:styleId="xl86">
    <w:name w:val="xl86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hAnsi="Calibri" w:cs="Calibri"/>
      <w:color w:val="000000"/>
      <w:szCs w:val="24"/>
    </w:rPr>
  </w:style>
  <w:style w:type="paragraph" w:customStyle="1" w:styleId="xl87">
    <w:name w:val="xl87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hAnsi="Calibri" w:cs="Calibri"/>
      <w:b/>
      <w:bCs/>
      <w:color w:val="000000"/>
      <w:szCs w:val="24"/>
    </w:rPr>
  </w:style>
  <w:style w:type="paragraph" w:customStyle="1" w:styleId="xl88">
    <w:name w:val="xl88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hAnsi="Calibri" w:cs="Calibri"/>
      <w:szCs w:val="24"/>
    </w:rPr>
  </w:style>
  <w:style w:type="paragraph" w:customStyle="1" w:styleId="xl89">
    <w:name w:val="xl89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hAnsi="Calibri" w:cs="Calibri"/>
      <w:szCs w:val="24"/>
    </w:rPr>
  </w:style>
  <w:style w:type="paragraph" w:customStyle="1" w:styleId="xl90">
    <w:name w:val="xl90"/>
    <w:basedOn w:val="Normal"/>
    <w:rsid w:val="001F5A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D3EF"/>
      <w:spacing w:before="100" w:beforeAutospacing="1" w:after="100" w:afterAutospacing="1" w:line="240" w:lineRule="auto"/>
      <w:jc w:val="center"/>
    </w:pPr>
    <w:rPr>
      <w:b/>
      <w:bCs/>
      <w:color w:val="00000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7BA44-0836-4B71-AE39-62F43A258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50</Pages>
  <Words>15045</Words>
  <Characters>85759</Characters>
  <Application>Microsoft Office Word</Application>
  <DocSecurity>0</DocSecurity>
  <Lines>714</Lines>
  <Paragraphs>201</Paragraphs>
  <ScaleCrop>false</ScaleCrop>
  <Company/>
  <LinksUpToDate>false</LinksUpToDate>
  <CharactersWithSpaces>100603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nina.kursar</dc:creator>
  <cp:lastModifiedBy>Nina Kursar</cp:lastModifiedBy>
  <cp:revision>5</cp:revision>
  <dcterms:created xsi:type="dcterms:W3CDTF">2026-02-17T09:28:00Z</dcterms:created>
  <dcterms:modified xsi:type="dcterms:W3CDTF">2026-02-18T11:14:00Z</dcterms:modified>
</cp:coreProperties>
</file>